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tabs>
          <w:tab w:val="left" w:pos="4662"/>
        </w:tabs>
        <w:spacing w:line="360" w:lineRule="auto"/>
        <w:jc w:val="left"/>
        <w:rPr>
          <w:rFonts w:hint="eastAsia" w:asciiTheme="minorHAnsi" w:hAnsiTheme="minorHAnsi" w:eastAsiaTheme="majorEastAsia" w:cstheme="minorHAnsi"/>
          <w:b/>
          <w:kern w:val="0"/>
          <w:sz w:val="32"/>
          <w:szCs w:val="21"/>
          <w:lang w:eastAsia="zh-CN"/>
        </w:rPr>
      </w:pPr>
      <w:r>
        <w:rPr>
          <w:rFonts w:hint="eastAsia" w:asciiTheme="minorHAnsi" w:hAnsiTheme="minorHAnsi" w:eastAsiaTheme="majorEastAsia" w:cstheme="minorHAnsi"/>
          <w:b/>
          <w:kern w:val="0"/>
          <w:sz w:val="32"/>
          <w:szCs w:val="21"/>
          <w:lang w:eastAsia="zh-CN"/>
        </w:rPr>
        <w:tab/>
      </w:r>
    </w:p>
    <w:p>
      <w:pPr>
        <w:widowControl/>
        <w:spacing w:line="360" w:lineRule="auto"/>
        <w:jc w:val="center"/>
        <w:rPr>
          <w:rFonts w:asciiTheme="minorHAnsi" w:hAnsiTheme="minorHAnsi" w:eastAsiaTheme="majorEastAsia" w:cstheme="minorHAnsi"/>
          <w:b/>
          <w:kern w:val="0"/>
          <w:sz w:val="32"/>
          <w:szCs w:val="21"/>
        </w:rPr>
      </w:pPr>
    </w:p>
    <w:p>
      <w:pPr>
        <w:widowControl/>
        <w:spacing w:line="360" w:lineRule="auto"/>
        <w:jc w:val="center"/>
        <w:rPr>
          <w:rFonts w:hint="eastAsia"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新加坡南洋理工大学</w:t>
      </w:r>
    </w:p>
    <w:p>
      <w:pPr>
        <w:widowControl/>
        <w:spacing w:line="360" w:lineRule="auto"/>
        <w:jc w:val="center"/>
        <w:rPr>
          <w:rFonts w:hint="default" w:asciiTheme="minorHAnsi" w:hAnsiTheme="minorHAnsi" w:eastAsiaTheme="majorEastAsia" w:cstheme="minorHAnsi"/>
          <w:b/>
          <w:kern w:val="0"/>
          <w:sz w:val="32"/>
          <w:szCs w:val="32"/>
          <w:lang w:val="en-US" w:eastAsia="zh-CN"/>
        </w:rPr>
      </w:pPr>
      <w:r>
        <w:rPr>
          <w:rFonts w:hint="eastAsia" w:asciiTheme="minorHAnsi" w:hAnsiTheme="minorHAnsi" w:eastAsiaTheme="majorEastAsia" w:cstheme="minorHAnsi"/>
          <w:b/>
          <w:kern w:val="0"/>
          <w:sz w:val="32"/>
          <w:szCs w:val="32"/>
          <w:lang w:val="en-US" w:eastAsia="zh-CN"/>
        </w:rPr>
        <w:t>人工智能自动化技术与物联网机器人</w:t>
      </w:r>
    </w:p>
    <w:p>
      <w:pPr>
        <w:widowControl/>
        <w:spacing w:line="360" w:lineRule="auto"/>
        <w:jc w:val="center"/>
        <w:rPr>
          <w:rFonts w:hint="eastAsia"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Nanyang Technological University</w:t>
      </w:r>
    </w:p>
    <w:p>
      <w:pPr>
        <w:widowControl/>
        <w:spacing w:line="360" w:lineRule="auto"/>
        <w:jc w:val="center"/>
        <w:rPr>
          <w:rFonts w:asciiTheme="minorHAnsi" w:hAnsiTheme="minorHAnsi" w:eastAsiaTheme="majorEastAsia" w:cstheme="minorHAnsi"/>
          <w:kern w:val="0"/>
          <w:sz w:val="28"/>
          <w:szCs w:val="28"/>
        </w:rPr>
      </w:pPr>
      <w:r>
        <w:rPr>
          <w:rFonts w:hint="eastAsia" w:asciiTheme="minorHAnsi" w:hAnsiTheme="minorHAnsi" w:eastAsiaTheme="majorEastAsia" w:cstheme="minorHAnsi"/>
          <w:kern w:val="0"/>
          <w:sz w:val="28"/>
          <w:szCs w:val="28"/>
        </w:rPr>
        <w:t>Modules for SCI &amp; Engineering</w:t>
      </w:r>
      <w:r>
        <w:rPr>
          <w:rFonts w:asciiTheme="minorHAnsi" w:hAnsiTheme="minorHAnsi" w:eastAsiaTheme="majorEastAsia" w:cstheme="minorHAnsi"/>
          <w:kern w:val="0"/>
          <w:sz w:val="28"/>
          <w:szCs w:val="28"/>
        </w:rPr>
        <w:t xml:space="preserve"> Program</w:t>
      </w:r>
    </w:p>
    <w:p>
      <w:pPr>
        <w:widowControl/>
        <w:spacing w:line="360" w:lineRule="auto"/>
        <w:jc w:val="center"/>
        <w:rPr>
          <w:rFonts w:cs="Calibri" w:asciiTheme="minorHAnsi" w:hAnsiTheme="minorHAnsi"/>
          <w:b/>
          <w:kern w:val="0"/>
          <w:szCs w:val="21"/>
        </w:rPr>
      </w:pPr>
    </w:p>
    <w:p>
      <w:pPr>
        <w:widowControl/>
        <w:spacing w:line="360" w:lineRule="auto"/>
        <w:rPr>
          <w:rFonts w:cs="Calibri" w:asciiTheme="minorHAnsi" w:hAnsiTheme="minorHAnsi"/>
          <w:b/>
          <w:kern w:val="0"/>
          <w:szCs w:val="21"/>
        </w:rPr>
      </w:pPr>
      <w:r>
        <w:rPr>
          <w:rFonts w:hint="eastAsia" w:cs="Calibri" w:asciiTheme="minorHAnsi" w:hAnsiTheme="minorHAnsi"/>
          <w:b/>
          <w:kern w:val="0"/>
          <w:szCs w:val="21"/>
        </w:rPr>
        <w:t>一、项目综述</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微处理器和微控制器的进步使人们能够在工业领域和社会生活中构建大规模的自动化系统，而机器人也可在其中发挥重要作用。特别是，微控制器的低成本使得智能传感器和智能执行器的出现成为可能，这反过来又推动了所谓的 "物联网"的广泛应用。</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因此，本项目的目标是让学生掌握机器人技术的专业知识、自动化系统和联网智能设备的基础知识，这些知识可随时部署到工业和社会中。项目核心优势：</w:t>
      </w:r>
    </w:p>
    <w:p>
      <w:pPr>
        <w:widowControl/>
        <w:spacing w:line="360" w:lineRule="auto"/>
        <w:ind w:firstLine="420"/>
        <w:jc w:val="both"/>
        <w:rPr>
          <w:rFonts w:hint="eastAsia" w:asciiTheme="minorHAnsi" w:hAnsiTheme="minorHAnsi" w:eastAsiaTheme="majorEastAsia" w:cstheme="minorHAnsi"/>
          <w:kern w:val="0"/>
          <w:szCs w:val="21"/>
          <w:lang w:val="en-US" w:eastAsia="zh-CN"/>
        </w:rPr>
      </w:pPr>
    </w:p>
    <w:p>
      <w:pPr>
        <w:widowControl/>
        <w:numPr>
          <w:ilvl w:val="0"/>
          <w:numId w:val="1"/>
        </w:numPr>
        <w:spacing w:line="360" w:lineRule="auto"/>
        <w:ind w:left="420" w:leftChars="0" w:hanging="420" w:firstLineChars="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 xml:space="preserve">了解工业领域中的机器人和自动化系统； </w:t>
      </w:r>
    </w:p>
    <w:p>
      <w:pPr>
        <w:widowControl/>
        <w:numPr>
          <w:ilvl w:val="0"/>
          <w:numId w:val="1"/>
        </w:numPr>
        <w:spacing w:line="360" w:lineRule="auto"/>
        <w:ind w:left="420" w:leftChars="0" w:hanging="420" w:firstLineChars="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了解网络传感器、执行器和控制器；</w:t>
      </w:r>
    </w:p>
    <w:p>
      <w:pPr>
        <w:widowControl/>
        <w:numPr>
          <w:ilvl w:val="0"/>
          <w:numId w:val="1"/>
        </w:numPr>
        <w:spacing w:line="360" w:lineRule="auto"/>
        <w:ind w:left="420" w:leftChars="0" w:hanging="420" w:firstLineChars="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了解工业中的机器人技术和自动化系统；</w:t>
      </w:r>
    </w:p>
    <w:p>
      <w:pPr>
        <w:widowControl/>
        <w:numPr>
          <w:ilvl w:val="0"/>
          <w:numId w:val="0"/>
        </w:numPr>
        <w:spacing w:line="360" w:lineRule="auto"/>
        <w:jc w:val="both"/>
        <w:rPr>
          <w:rFonts w:hint="eastAsia" w:asciiTheme="minorHAnsi" w:hAnsiTheme="minorHAnsi" w:eastAsiaTheme="majorEastAsia" w:cstheme="minorHAnsi"/>
          <w:kern w:val="0"/>
          <w:szCs w:val="21"/>
          <w:lang w:val="en-US" w:eastAsia="zh-CN"/>
        </w:rPr>
      </w:pPr>
    </w:p>
    <w:p>
      <w:pPr>
        <w:widowControl/>
        <w:spacing w:line="360" w:lineRule="auto"/>
        <w:ind w:firstLine="420"/>
        <w:jc w:val="both"/>
        <w:rPr>
          <w:rFonts w:hint="eastAsia" w:asciiTheme="minorHAnsi" w:hAnsiTheme="minorHAnsi" w:eastAsiaTheme="majorEastAsia" w:cstheme="minorHAnsi"/>
          <w:kern w:val="0"/>
          <w:szCs w:val="21"/>
          <w:lang w:val="en-US" w:eastAsia="zh-CN"/>
        </w:rPr>
      </w:pPr>
      <w:r>
        <w:rPr>
          <w:rFonts w:hint="eastAsia" w:asciiTheme="minorHAnsi" w:hAnsiTheme="minorHAnsi" w:eastAsiaTheme="majorEastAsia" w:cstheme="minorHAnsi"/>
          <w:kern w:val="0"/>
          <w:szCs w:val="21"/>
          <w:lang w:val="en-US" w:eastAsia="zh-CN"/>
        </w:rPr>
        <w:t xml:space="preserve">为了让中国学生体验世界一流名校的学术氛围，南洋理工大学主办部门举办本次2周的访学项目，由南洋理工大学在职教授授课，项目将开设「机器人运动系统与机械臂运动规划」、「工业自动化过程与自动化过程控制」、「人工智能与物联网技术」、「传感器与执行器」等相关主题，涵盖新加坡南洋理工大学特色专业课、小组讨论、结业项目展示等内容，最大程度的让学员在短时间体验南洋理工大学的学术特色，并做好成为机器人、自动化系统和物联网的用户和设计者的准备。 </w:t>
      </w:r>
    </w:p>
    <w:p>
      <w:pPr>
        <w:pStyle w:val="27"/>
        <w:widowControl w:val="0"/>
        <w:numPr>
          <w:ilvl w:val="0"/>
          <w:numId w:val="0"/>
        </w:numPr>
        <w:spacing w:before="168" w:line="176" w:lineRule="auto"/>
        <w:ind w:leftChars="0"/>
        <w:jc w:val="both"/>
        <w:rPr>
          <w:rFonts w:hint="eastAsia" w:asciiTheme="minorHAnsi" w:hAnsiTheme="minorHAnsi" w:eastAsiaTheme="majorEastAsia" w:cstheme="minorHAnsi"/>
          <w:kern w:val="0"/>
          <w:szCs w:val="21"/>
          <w:lang w:val="en-US" w:eastAsia="zh-CN"/>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二、项目优势特色</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【最具针对性的课程主题】</w:t>
      </w:r>
      <w:r>
        <w:rPr>
          <w:rFonts w:hint="eastAsia" w:asciiTheme="minorHAnsi" w:hAnsiTheme="minorHAnsi" w:eastAsiaTheme="majorEastAsia" w:cstheme="minorHAnsi"/>
          <w:kern w:val="0"/>
          <w:szCs w:val="21"/>
        </w:rPr>
        <w:t>通过</w:t>
      </w:r>
      <w:r>
        <w:rPr>
          <w:rFonts w:hint="eastAsia" w:asciiTheme="minorHAnsi" w:hAnsiTheme="minorHAnsi" w:eastAsiaTheme="majorEastAsia" w:cstheme="minorHAnsi"/>
          <w:kern w:val="0"/>
          <w:szCs w:val="21"/>
          <w:lang w:val="en-US" w:eastAsia="zh-CN"/>
        </w:rPr>
        <w:t>物联网技术</w:t>
      </w:r>
      <w:r>
        <w:rPr>
          <w:rFonts w:hint="eastAsia" w:asciiTheme="minorHAnsi" w:hAnsiTheme="minorHAnsi" w:eastAsiaTheme="majorEastAsia" w:cstheme="minorHAnsi"/>
          <w:kern w:val="0"/>
          <w:szCs w:val="21"/>
        </w:rPr>
        <w:t>以及</w:t>
      </w:r>
      <w:r>
        <w:rPr>
          <w:rFonts w:hint="eastAsia" w:asciiTheme="minorHAnsi" w:hAnsiTheme="minorHAnsi" w:eastAsiaTheme="majorEastAsia" w:cstheme="minorHAnsi"/>
          <w:kern w:val="0"/>
          <w:szCs w:val="21"/>
          <w:lang w:val="en-US" w:eastAsia="zh-CN"/>
        </w:rPr>
        <w:t>机器人系统</w:t>
      </w:r>
      <w:r>
        <w:rPr>
          <w:rFonts w:hint="eastAsia" w:asciiTheme="minorHAnsi" w:hAnsiTheme="minorHAnsi" w:eastAsiaTheme="majorEastAsia" w:cstheme="minorHAnsi"/>
          <w:kern w:val="0"/>
          <w:szCs w:val="21"/>
        </w:rPr>
        <w:t>两个层面，全方位提升学生对于</w:t>
      </w:r>
      <w:r>
        <w:rPr>
          <w:rFonts w:hint="eastAsia" w:asciiTheme="minorHAnsi" w:hAnsiTheme="minorHAnsi" w:eastAsiaTheme="majorEastAsia" w:cstheme="minorHAnsi"/>
          <w:kern w:val="0"/>
          <w:szCs w:val="21"/>
          <w:lang w:val="en-US" w:eastAsia="zh-CN"/>
        </w:rPr>
        <w:t>数据科学及人工智能技术</w:t>
      </w:r>
      <w:r>
        <w:rPr>
          <w:rFonts w:hint="eastAsia" w:asciiTheme="minorHAnsi" w:hAnsiTheme="minorHAnsi" w:eastAsiaTheme="majorEastAsia" w:cstheme="minorHAnsi"/>
          <w:kern w:val="0"/>
          <w:szCs w:val="21"/>
        </w:rPr>
        <w:t>的理解与把握；</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【可接受四/六级成绩】</w:t>
      </w:r>
      <w:r>
        <w:rPr>
          <w:rFonts w:hint="eastAsia" w:asciiTheme="minorHAnsi" w:hAnsiTheme="minorHAnsi" w:eastAsiaTheme="majorEastAsia" w:cstheme="minorHAnsi"/>
          <w:kern w:val="0"/>
          <w:szCs w:val="21"/>
          <w:lang w:val="en-US" w:eastAsia="zh-CN"/>
        </w:rPr>
        <w:t>无</w:t>
      </w:r>
      <w:r>
        <w:rPr>
          <w:rFonts w:hint="eastAsia" w:asciiTheme="minorHAnsi" w:hAnsiTheme="minorHAnsi" w:eastAsiaTheme="majorEastAsia" w:cstheme="minorHAnsi"/>
          <w:kern w:val="0"/>
          <w:szCs w:val="21"/>
        </w:rPr>
        <w:t>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r>
        <w:rPr>
          <w:rFonts w:hint="eastAsia" w:asciiTheme="minorHAnsi" w:hAnsiTheme="minorHAnsi" w:eastAsiaTheme="majorEastAsia" w:cstheme="minorHAnsi"/>
          <w:kern w:val="0"/>
          <w:szCs w:val="21"/>
          <w:lang w:val="en-US" w:eastAsia="zh-CN"/>
        </w:rPr>
        <w:t>;</w:t>
      </w:r>
    </w:p>
    <w:p>
      <w:pPr>
        <w:pStyle w:val="21"/>
        <w:widowControl/>
        <w:numPr>
          <w:ilvl w:val="0"/>
          <w:numId w:val="2"/>
        </w:numPr>
        <w:spacing w:line="360" w:lineRule="auto"/>
        <w:ind w:firstLineChars="0"/>
        <w:jc w:val="left"/>
        <w:rPr>
          <w:rFonts w:asciiTheme="minorHAnsi" w:hAnsiTheme="minorHAnsi" w:eastAsiaTheme="majorEastAsia" w:cstheme="minorHAnsi"/>
          <w:b/>
          <w:bCs/>
          <w:kern w:val="0"/>
          <w:szCs w:val="21"/>
        </w:rPr>
      </w:pPr>
      <w:bookmarkStart w:id="0" w:name="_Hlk129187307"/>
      <w:r>
        <w:rPr>
          <w:rFonts w:hint="eastAsia" w:asciiTheme="minorHAnsi" w:hAnsiTheme="minorHAnsi" w:eastAsiaTheme="majorEastAsia" w:cstheme="minorHAnsi"/>
          <w:b/>
          <w:bCs/>
          <w:kern w:val="0"/>
          <w:szCs w:val="21"/>
        </w:rPr>
        <w:t>【官方品质保障】</w:t>
      </w:r>
      <w:r>
        <w:rPr>
          <w:rFonts w:hint="eastAsia" w:asciiTheme="minorHAnsi" w:hAnsiTheme="minorHAnsi" w:eastAsiaTheme="majorEastAsia" w:cstheme="minorHAnsi"/>
          <w:kern w:val="0"/>
          <w:szCs w:val="21"/>
        </w:rPr>
        <w:t>学生可获得</w:t>
      </w:r>
      <w:r>
        <w:rPr>
          <w:rFonts w:hint="eastAsia" w:asciiTheme="minorHAnsi" w:hAnsiTheme="minorHAnsi" w:eastAsiaTheme="majorEastAsia" w:cstheme="minorHAnsi"/>
          <w:kern w:val="0"/>
          <w:szCs w:val="21"/>
          <w:lang w:val="en-US" w:eastAsia="zh-CN"/>
        </w:rPr>
        <w:t>新加坡南洋理工大学</w:t>
      </w:r>
      <w:r>
        <w:rPr>
          <w:rFonts w:hint="eastAsia" w:asciiTheme="minorHAnsi" w:hAnsiTheme="minorHAnsi" w:eastAsiaTheme="majorEastAsia" w:cstheme="minorHAnsi"/>
          <w:kern w:val="0"/>
          <w:szCs w:val="21"/>
        </w:rPr>
        <w:t>正式的课程成绩单与参课证明，享受学校图书馆等资源，并可</w:t>
      </w:r>
      <w:r>
        <w:rPr>
          <w:rFonts w:hint="eastAsia" w:asciiTheme="minorHAnsi" w:hAnsiTheme="minorHAnsi" w:eastAsiaTheme="majorEastAsia" w:cstheme="minorHAnsi"/>
          <w:kern w:val="0"/>
          <w:szCs w:val="21"/>
          <w:lang w:val="en-US" w:eastAsia="zh-CN"/>
        </w:rPr>
        <w:t>从</w:t>
      </w:r>
      <w:r>
        <w:rPr>
          <w:rFonts w:hint="eastAsia" w:asciiTheme="minorHAnsi" w:hAnsiTheme="minorHAnsi" w:eastAsiaTheme="majorEastAsia" w:cstheme="minorHAnsi"/>
          <w:kern w:val="0"/>
          <w:szCs w:val="21"/>
        </w:rPr>
        <w:t>学习空间、教育技术等方面深度体验</w:t>
      </w:r>
      <w:r>
        <w:rPr>
          <w:rFonts w:hint="eastAsia" w:asciiTheme="minorHAnsi" w:hAnsiTheme="minorHAnsi" w:eastAsiaTheme="majorEastAsia" w:cstheme="minorHAnsi"/>
          <w:kern w:val="0"/>
          <w:szCs w:val="21"/>
          <w:lang w:val="en-US" w:eastAsia="zh-CN"/>
        </w:rPr>
        <w:t>新加坡</w:t>
      </w:r>
      <w:r>
        <w:rPr>
          <w:rFonts w:hint="eastAsia" w:asciiTheme="minorHAnsi" w:hAnsiTheme="minorHAnsi" w:eastAsiaTheme="majorEastAsia" w:cstheme="minorHAnsi"/>
          <w:kern w:val="0"/>
          <w:szCs w:val="21"/>
        </w:rPr>
        <w:t>的社会与文化</w:t>
      </w:r>
      <w:bookmarkEnd w:id="0"/>
      <w:r>
        <w:rPr>
          <w:rFonts w:hint="eastAsia" w:asciiTheme="minorHAnsi" w:hAnsiTheme="minorHAnsi" w:eastAsiaTheme="majorEastAsia" w:cstheme="minorHAnsi"/>
          <w:kern w:val="0"/>
          <w:szCs w:val="21"/>
          <w:lang w:eastAsia="zh-CN"/>
        </w:rPr>
        <w:t>。</w:t>
      </w:r>
    </w:p>
    <w:p>
      <w:pPr>
        <w:pStyle w:val="21"/>
        <w:widowControl/>
        <w:numPr>
          <w:ilvl w:val="0"/>
          <w:numId w:val="0"/>
        </w:numPr>
        <w:spacing w:line="360" w:lineRule="auto"/>
        <w:ind w:left="420" w:leftChars="0"/>
        <w:jc w:val="left"/>
        <w:rPr>
          <w:rFonts w:asciiTheme="minorHAnsi" w:hAnsiTheme="minorHAnsi" w:eastAsiaTheme="majorEastAsia" w:cstheme="minorHAnsi"/>
          <w:b/>
          <w:bCs/>
          <w:kern w:val="0"/>
          <w:szCs w:val="21"/>
        </w:rPr>
      </w:pPr>
    </w:p>
    <w:p>
      <w:pPr>
        <w:widowControl/>
        <w:spacing w:line="360" w:lineRule="auto"/>
        <w:jc w:val="left"/>
        <w:rPr>
          <w:rFonts w:asciiTheme="minorHAnsi" w:hAnsiTheme="minorHAnsi" w:eastAsiaTheme="majorEastAsia" w:cstheme="minorHAnsi"/>
          <w:b/>
          <w:bCs/>
          <w:kern w:val="0"/>
          <w:szCs w:val="21"/>
        </w:rPr>
      </w:pPr>
      <w:r>
        <w:rPr>
          <w:rFonts w:hint="eastAsia" w:asciiTheme="minorHAnsi" w:hAnsiTheme="minorHAnsi" w:eastAsiaTheme="majorEastAsia" w:cstheme="minorHAnsi"/>
          <w:b/>
          <w:bCs/>
          <w:kern w:val="0"/>
          <w:szCs w:val="21"/>
        </w:rPr>
        <w:t>三、</w:t>
      </w:r>
      <w:r>
        <w:rPr>
          <w:rFonts w:hint="eastAsia" w:asciiTheme="minorHAnsi" w:hAnsiTheme="minorHAnsi" w:eastAsiaTheme="majorEastAsia" w:cstheme="minorHAnsi"/>
          <w:b/>
          <w:bCs/>
          <w:kern w:val="0"/>
          <w:szCs w:val="21"/>
          <w:lang w:val="en-US" w:eastAsia="zh-CN"/>
        </w:rPr>
        <w:t>南洋理工</w:t>
      </w:r>
      <w:r>
        <w:rPr>
          <w:rFonts w:asciiTheme="minorHAnsi" w:hAnsiTheme="minorHAnsi" w:eastAsiaTheme="majorEastAsia" w:cstheme="minorHAnsi"/>
          <w:b/>
          <w:bCs/>
          <w:kern w:val="0"/>
          <w:szCs w:val="21"/>
        </w:rPr>
        <w:t>大学</w:t>
      </w:r>
      <w:r>
        <w:rPr>
          <w:rFonts w:hint="eastAsia" w:asciiTheme="minorHAnsi" w:hAnsiTheme="minorHAnsi" w:eastAsiaTheme="majorEastAsia" w:cstheme="minorHAnsi"/>
          <w:b/>
          <w:bCs/>
          <w:kern w:val="0"/>
          <w:szCs w:val="21"/>
        </w:rPr>
        <w:t>简介</w:t>
      </w:r>
    </w:p>
    <w:p>
      <w:pPr>
        <w:pStyle w:val="21"/>
        <w:widowControl/>
        <w:numPr>
          <w:ilvl w:val="0"/>
          <w:numId w:val="2"/>
        </w:numPr>
        <w:spacing w:line="360" w:lineRule="auto"/>
        <w:ind w:firstLineChars="0"/>
        <w:jc w:val="left"/>
        <w:rPr>
          <w:rFonts w:hint="eastAsia" w:asciiTheme="minorHAnsi" w:hAnsiTheme="minorHAnsi" w:eastAsiaTheme="majorEastAsia" w:cstheme="minorHAnsi"/>
          <w:kern w:val="0"/>
          <w:szCs w:val="21"/>
          <w:lang w:val="en-US" w:eastAsia="zh-CN"/>
        </w:rPr>
      </w:pPr>
      <w:r>
        <w:rPr>
          <w:rFonts w:hint="default" w:asciiTheme="minorHAnsi" w:hAnsiTheme="minorHAnsi" w:eastAsiaTheme="majorEastAsia" w:cstheme="minorHAnsi"/>
          <w:kern w:val="0"/>
          <w:szCs w:val="21"/>
          <w:lang w:val="en-US" w:eastAsia="zh-CN"/>
        </w:rPr>
        <w:t>南洋理工大学（Nanyang Technological University），简称NTU，</w:t>
      </w:r>
      <w:r>
        <w:rPr>
          <w:rFonts w:hint="eastAsia" w:asciiTheme="minorHAnsi" w:hAnsiTheme="minorHAnsi" w:eastAsiaTheme="majorEastAsia" w:cstheme="minorHAnsi"/>
          <w:kern w:val="0"/>
          <w:szCs w:val="21"/>
          <w:lang w:val="en-US" w:eastAsia="zh-CN"/>
        </w:rPr>
        <w:t>是新加坡首屈一指的世界顶级综合类研究型大学，同时也是新加坡一所科研密集型大学；</w:t>
      </w:r>
    </w:p>
    <w:p>
      <w:pPr>
        <w:pStyle w:val="21"/>
        <w:widowControl/>
        <w:numPr>
          <w:ilvl w:val="0"/>
          <w:numId w:val="2"/>
        </w:numPr>
        <w:spacing w:line="360" w:lineRule="auto"/>
        <w:ind w:firstLineChars="0"/>
        <w:jc w:val="left"/>
        <w:rPr>
          <w:rFonts w:hint="eastAsia" w:asciiTheme="minorHAnsi" w:hAnsiTheme="minorHAnsi" w:eastAsiaTheme="majorEastAsia" w:cstheme="minorHAnsi"/>
          <w:kern w:val="0"/>
          <w:szCs w:val="21"/>
        </w:rPr>
      </w:pPr>
      <w:r>
        <w:rPr>
          <w:rFonts w:hint="eastAsia" w:asciiTheme="minorHAnsi" w:hAnsiTheme="minorHAnsi" w:eastAsiaTheme="majorEastAsia" w:cstheme="minorHAnsi"/>
          <w:kern w:val="0"/>
          <w:szCs w:val="21"/>
          <w:lang w:val="en-US" w:eastAsia="zh-CN"/>
        </w:rPr>
        <w:t>全球十大最美丽的校园之列。 南大是环太平洋大学联盟、新工科教育国际联盟成员，全球高校人工智能学术联盟创始成员、</w:t>
      </w:r>
      <w:r>
        <w:rPr>
          <w:rFonts w:hint="default" w:asciiTheme="minorHAnsi" w:hAnsiTheme="minorHAnsi" w:eastAsiaTheme="majorEastAsia" w:cstheme="minorHAnsi"/>
          <w:kern w:val="0"/>
          <w:szCs w:val="21"/>
          <w:lang w:val="en-US" w:eastAsia="zh-CN"/>
        </w:rPr>
        <w:t xml:space="preserve">AACSB </w:t>
      </w:r>
      <w:r>
        <w:rPr>
          <w:rFonts w:hint="eastAsia" w:asciiTheme="minorHAnsi" w:hAnsiTheme="minorHAnsi" w:eastAsiaTheme="majorEastAsia" w:cstheme="minorHAnsi"/>
          <w:kern w:val="0"/>
          <w:szCs w:val="21"/>
          <w:lang w:val="en-US" w:eastAsia="zh-CN"/>
        </w:rPr>
        <w:t>认证成员、国际事务专业学院协会成员，也是国际科技大学联盟的发起成员。南大在许多领域的研究享有世界盛名，为工科和商科并重的综合性大学；</w:t>
      </w:r>
    </w:p>
    <w:p>
      <w:pPr>
        <w:pStyle w:val="21"/>
        <w:widowControl/>
        <w:numPr>
          <w:ilvl w:val="0"/>
          <w:numId w:val="2"/>
        </w:numPr>
        <w:spacing w:line="360" w:lineRule="auto"/>
        <w:ind w:firstLineChars="0"/>
        <w:jc w:val="left"/>
        <w:rPr>
          <w:rFonts w:hint="eastAsia" w:cs="Arial" w:asciiTheme="minorHAnsi" w:hAnsiTheme="minorHAnsi"/>
          <w:color w:val="333333"/>
          <w:kern w:val="0"/>
          <w:szCs w:val="21"/>
        </w:rPr>
      </w:pPr>
      <w:r>
        <w:rPr>
          <w:rFonts w:hint="eastAsia" w:asciiTheme="minorHAnsi" w:hAnsiTheme="minorHAnsi" w:eastAsiaTheme="majorEastAsia" w:cstheme="minorHAnsi"/>
          <w:kern w:val="0"/>
          <w:szCs w:val="21"/>
          <w:lang w:val="en-US" w:eastAsia="zh-CN"/>
        </w:rPr>
        <w:t>2023 年 QS 世界大学排名全球第 19 名。南</w:t>
      </w:r>
      <w:r>
        <w:rPr>
          <w:rFonts w:hint="default" w:asciiTheme="minorHAnsi" w:hAnsiTheme="minorHAnsi" w:eastAsiaTheme="majorEastAsia" w:cstheme="minorHAnsi"/>
          <w:kern w:val="0"/>
          <w:szCs w:val="21"/>
          <w:lang w:val="en-US" w:eastAsia="zh-CN"/>
        </w:rPr>
        <w:t>大被“QS世界大学排名”评为世界顶尖大学之一，并多年蝉联全球年轻大学榜首。 </w:t>
      </w:r>
    </w:p>
    <w:p>
      <w:pPr>
        <w:widowControl/>
        <w:spacing w:line="360" w:lineRule="auto"/>
        <w:ind w:left="420" w:firstLine="420" w:firstLineChars="200"/>
        <w:jc w:val="left"/>
        <w:rPr>
          <w:rFonts w:hint="eastAsia" w:cs="Arial" w:asciiTheme="minorHAnsi" w:hAnsiTheme="minorHAnsi"/>
          <w:color w:val="333333"/>
          <w:kern w:val="0"/>
          <w:szCs w:val="21"/>
        </w:rPr>
      </w:pPr>
    </w:p>
    <w:p>
      <w:pPr>
        <w:widowControl/>
        <w:spacing w:line="360" w:lineRule="auto"/>
        <w:jc w:val="left"/>
        <w:rPr>
          <w:rFonts w:asciiTheme="minorHAnsi" w:hAnsiTheme="minorHAnsi" w:eastAsiaTheme="majorEastAsia" w:cstheme="minorHAnsi"/>
          <w:b/>
          <w:szCs w:val="21"/>
        </w:rPr>
      </w:pPr>
      <w:r>
        <w:rPr>
          <w:rFonts w:hint="eastAsia" w:asciiTheme="minorHAnsi" w:hAnsiTheme="minorHAnsi" w:eastAsiaTheme="majorEastAsia" w:cstheme="minorHAnsi"/>
          <w:b/>
          <w:szCs w:val="21"/>
        </w:rPr>
        <w:t>四、项目详情</w:t>
      </w: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hint="eastAsia" w:cs="Calibri" w:asciiTheme="minorHAnsi" w:hAnsiTheme="minorHAnsi"/>
          <w:b/>
          <w:szCs w:val="21"/>
        </w:rPr>
        <w:t>日期</w:t>
      </w:r>
      <w:r>
        <w:rPr>
          <w:rFonts w:cs="Calibri" w:asciiTheme="minorHAnsi" w:hAnsiTheme="minorHAnsi"/>
          <w:szCs w:val="21"/>
        </w:rPr>
        <w:t>】</w:t>
      </w:r>
    </w:p>
    <w:p>
      <w:pPr>
        <w:widowControl/>
        <w:spacing w:line="360" w:lineRule="auto"/>
        <w:ind w:firstLine="422" w:firstLineChars="200"/>
        <w:jc w:val="left"/>
        <w:rPr>
          <w:rFonts w:hint="default" w:asciiTheme="minorHAnsi" w:hAnsiTheme="minorHAnsi" w:eastAsiaTheme="majorEastAsia" w:cstheme="minorHAnsi"/>
          <w:b/>
          <w:szCs w:val="21"/>
          <w:lang w:val="en-US" w:eastAsia="zh-CN"/>
        </w:rPr>
      </w:pPr>
      <w:r>
        <w:rPr>
          <w:rFonts w:hint="eastAsia" w:asciiTheme="minorHAnsi" w:hAnsiTheme="minorHAnsi" w:eastAsiaTheme="majorEastAsia" w:cstheme="minorHAnsi"/>
          <w:b/>
          <w:szCs w:val="21"/>
        </w:rPr>
        <w:t>202</w:t>
      </w:r>
      <w:r>
        <w:rPr>
          <w:rFonts w:hint="default" w:asciiTheme="minorHAnsi" w:hAnsiTheme="minorHAnsi" w:eastAsiaTheme="majorEastAsia" w:cstheme="minorHAnsi"/>
          <w:b/>
          <w:szCs w:val="21"/>
        </w:rPr>
        <w:t>4年</w:t>
      </w:r>
      <w:r>
        <w:rPr>
          <w:rFonts w:hint="eastAsia" w:asciiTheme="minorHAnsi" w:hAnsiTheme="minorHAnsi" w:eastAsiaTheme="majorEastAsia" w:cstheme="minorHAnsi"/>
          <w:b/>
          <w:szCs w:val="21"/>
          <w:lang w:val="en-US" w:eastAsia="zh-CN"/>
        </w:rPr>
        <w:t>7-8月（可按需定制）</w:t>
      </w:r>
    </w:p>
    <w:p>
      <w:pPr>
        <w:spacing w:line="360" w:lineRule="auto"/>
        <w:rPr>
          <w:rFonts w:cs="Calibri" w:asciiTheme="minorHAnsi" w:hAnsiTheme="minorHAnsi"/>
          <w:szCs w:val="21"/>
        </w:rPr>
      </w:pPr>
    </w:p>
    <w:p>
      <w:pPr>
        <w:spacing w:line="360" w:lineRule="auto"/>
        <w:rPr>
          <w:rFonts w:asciiTheme="minorHAnsi" w:hAnsiTheme="minorHAnsi" w:eastAsiaTheme="majorEastAsia" w:cs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课程内容</w:t>
      </w:r>
      <w:r>
        <w:rPr>
          <w:rFonts w:cs="Calibri" w:asciiTheme="minorHAnsi" w:hAnsiTheme="minorHAnsi"/>
          <w:szCs w:val="21"/>
        </w:rPr>
        <w:t>】</w:t>
      </w:r>
    </w:p>
    <w:p>
      <w:pPr>
        <w:spacing w:line="360" w:lineRule="auto"/>
        <w:ind w:left="420" w:leftChars="200"/>
        <w:rPr>
          <w:rFonts w:hint="eastAsia" w:asciiTheme="minorHAnsi" w:hAnsiTheme="minorHAnsi" w:eastAsiaTheme="majorEastAsia" w:cstheme="minorHAnsi"/>
          <w:color w:val="0000FF"/>
          <w:szCs w:val="21"/>
          <w:lang w:eastAsia="zh-CN"/>
        </w:rPr>
      </w:pPr>
      <w:r>
        <w:rPr>
          <w:rFonts w:hint="eastAsia" w:cs="Calibri" w:asciiTheme="minorHAnsi" w:hAnsiTheme="minorHAnsi"/>
          <w:color w:val="auto"/>
          <w:szCs w:val="21"/>
        </w:rPr>
        <w:t>项目为期</w:t>
      </w:r>
      <w:r>
        <w:rPr>
          <w:rFonts w:hint="eastAsia" w:cs="Calibri" w:asciiTheme="minorHAnsi" w:hAnsiTheme="minorHAnsi"/>
          <w:color w:val="auto"/>
          <w:szCs w:val="21"/>
          <w:lang w:val="en-US" w:eastAsia="zh-CN"/>
        </w:rPr>
        <w:t>8天</w:t>
      </w:r>
      <w:r>
        <w:rPr>
          <w:rFonts w:hint="eastAsia" w:cs="Calibri" w:asciiTheme="minorHAnsi" w:hAnsiTheme="minorHAnsi"/>
          <w:color w:val="auto"/>
          <w:szCs w:val="21"/>
        </w:rPr>
        <w:t>，</w:t>
      </w:r>
      <w:r>
        <w:rPr>
          <w:rFonts w:hint="eastAsia" w:asciiTheme="minorHAnsi" w:hAnsiTheme="minorHAnsi" w:eastAsiaTheme="majorEastAsia" w:cstheme="minorHAnsi"/>
          <w:color w:val="auto"/>
          <w:szCs w:val="21"/>
          <w:lang w:val="en-US" w:eastAsia="zh-CN"/>
        </w:rPr>
        <w:t>项目共计30课时，包含20课时的</w:t>
      </w:r>
      <w:r>
        <w:rPr>
          <w:rFonts w:hint="eastAsia" w:asciiTheme="minorHAnsi" w:hAnsiTheme="minorHAnsi" w:eastAsiaTheme="majorEastAsia" w:cstheme="minorHAnsi"/>
          <w:color w:val="auto"/>
          <w:szCs w:val="21"/>
        </w:rPr>
        <w:t>授课时间</w:t>
      </w:r>
      <w:r>
        <w:rPr>
          <w:rFonts w:hint="eastAsia" w:asciiTheme="minorHAnsi" w:hAnsiTheme="minorHAnsi" w:eastAsiaTheme="majorEastAsia" w:cstheme="minorHAnsi"/>
          <w:color w:val="auto"/>
          <w:szCs w:val="21"/>
          <w:lang w:val="en-US" w:eastAsia="zh-CN"/>
        </w:rPr>
        <w:t xml:space="preserve">及10课时的人文参访/企业调研/实验操作等环节。 </w:t>
      </w:r>
      <w:r>
        <w:rPr>
          <w:rFonts w:hint="eastAsia" w:asciiTheme="minorHAnsi" w:hAnsiTheme="minorHAnsi" w:eastAsiaTheme="majorEastAsia" w:cstheme="minorHAnsi"/>
          <w:color w:val="auto"/>
          <w:szCs w:val="21"/>
        </w:rPr>
        <w:t>授课时间预计为当地时间每周一至周五上午9</w:t>
      </w:r>
      <w:r>
        <w:rPr>
          <w:rFonts w:asciiTheme="minorHAnsi" w:hAnsiTheme="minorHAnsi" w:eastAsiaTheme="majorEastAsia" w:cstheme="minorHAnsi"/>
          <w:color w:val="auto"/>
          <w:szCs w:val="21"/>
        </w:rPr>
        <w:t>-12</w:t>
      </w:r>
      <w:r>
        <w:rPr>
          <w:rFonts w:hint="eastAsia" w:asciiTheme="minorHAnsi" w:hAnsiTheme="minorHAnsi" w:eastAsiaTheme="majorEastAsia" w:cstheme="minorHAnsi"/>
          <w:color w:val="auto"/>
          <w:szCs w:val="21"/>
        </w:rPr>
        <w:t>点或下午1</w:t>
      </w:r>
      <w:r>
        <w:rPr>
          <w:rFonts w:asciiTheme="minorHAnsi" w:hAnsiTheme="minorHAnsi" w:eastAsiaTheme="majorEastAsia" w:cstheme="minorHAnsi"/>
          <w:color w:val="auto"/>
          <w:szCs w:val="21"/>
        </w:rPr>
        <w:t>-4</w:t>
      </w:r>
      <w:r>
        <w:rPr>
          <w:rFonts w:hint="eastAsia" w:asciiTheme="minorHAnsi" w:hAnsiTheme="minorHAnsi" w:eastAsiaTheme="majorEastAsia" w:cstheme="minorHAnsi"/>
          <w:color w:val="auto"/>
          <w:szCs w:val="21"/>
        </w:rPr>
        <w:t>点（以校方实际安排的课表为准）</w:t>
      </w:r>
      <w:r>
        <w:rPr>
          <w:rFonts w:hint="eastAsia" w:asciiTheme="minorHAnsi" w:hAnsiTheme="minorHAnsi" w:eastAsiaTheme="majorEastAsia" w:cstheme="minorHAnsi"/>
          <w:color w:val="auto"/>
          <w:szCs w:val="21"/>
          <w:lang w:eastAsia="zh-CN"/>
        </w:rPr>
        <w:t>。</w:t>
      </w:r>
    </w:p>
    <w:p>
      <w:pPr>
        <w:spacing w:line="360" w:lineRule="auto"/>
        <w:ind w:left="420" w:leftChars="200"/>
        <w:rPr>
          <w:rFonts w:hint="eastAsia" w:asciiTheme="minorHAnsi" w:hAnsiTheme="minorHAnsi" w:eastAsiaTheme="majorEastAsia" w:cstheme="minorHAnsi"/>
          <w:szCs w:val="21"/>
        </w:rPr>
      </w:pPr>
    </w:p>
    <w:p>
      <w:pPr>
        <w:spacing w:line="360" w:lineRule="auto"/>
        <w:rPr>
          <w:rFonts w:hint="eastAsia" w:asciiTheme="minorHAnsi" w:hAnsiTheme="minorHAnsi" w:eastAsiaTheme="majorEastAsia" w:cstheme="minorHAnsi"/>
          <w:szCs w:val="21"/>
        </w:rPr>
      </w:pPr>
      <w:bookmarkStart w:id="1" w:name="_Hlk129190440"/>
      <w:r>
        <w:rPr>
          <w:rFonts w:hint="eastAsia" w:asciiTheme="minorHAnsi" w:hAnsiTheme="minorHAnsi" w:eastAsiaTheme="majorEastAsia" w:cstheme="minorHAnsi"/>
          <w:szCs w:val="21"/>
        </w:rPr>
        <w:t>【</w:t>
      </w:r>
      <w:r>
        <w:rPr>
          <w:rFonts w:hint="eastAsia" w:asciiTheme="minorHAnsi" w:hAnsiTheme="minorHAnsi" w:eastAsiaTheme="majorEastAsia" w:cstheme="minorHAnsi"/>
          <w:b/>
          <w:bCs/>
          <w:szCs w:val="21"/>
        </w:rPr>
        <w:t>参考日程</w:t>
      </w:r>
      <w:r>
        <w:rPr>
          <w:rFonts w:hint="eastAsia" w:asciiTheme="minorHAnsi" w:hAnsiTheme="minorHAnsi" w:eastAsiaTheme="majorEastAsia" w:cstheme="minorHAnsi"/>
          <w:szCs w:val="21"/>
        </w:rPr>
        <w:t>】（仅供参考，以校方实际安排为准）</w:t>
      </w:r>
    </w:p>
    <w:p>
      <w:pPr>
        <w:keepNext w:val="0"/>
        <w:keepLines w:val="0"/>
        <w:widowControl/>
        <w:suppressLineNumbers w:val="0"/>
        <w:jc w:val="left"/>
        <w:rPr>
          <w:rFonts w:hint="eastAsia" w:asciiTheme="minorHAnsi" w:hAnsiTheme="minorHAnsi" w:eastAsiaTheme="majorEastAsia" w:cstheme="minorHAnsi"/>
          <w:szCs w:val="21"/>
          <w:lang w:val="en-US" w:eastAsia="zh-CN"/>
        </w:rPr>
      </w:pPr>
      <w:r>
        <w:rPr>
          <w:rFonts w:hint="eastAsia" w:asciiTheme="minorHAnsi" w:hAnsiTheme="minorHAnsi" w:eastAsiaTheme="majorEastAsia" w:cstheme="minorHAnsi"/>
          <w:szCs w:val="21"/>
        </w:rPr>
        <w:t xml:space="preserve">Modules for </w:t>
      </w:r>
      <w:r>
        <w:rPr>
          <w:rFonts w:hint="eastAsia" w:asciiTheme="minorHAnsi" w:hAnsiTheme="minorHAnsi" w:eastAsiaTheme="majorEastAsia" w:cstheme="minorHAnsi"/>
          <w:szCs w:val="21"/>
          <w:lang w:val="en-US" w:eastAsia="zh-CN"/>
        </w:rPr>
        <w:t>Robotics, Automation and Internet of Things</w:t>
      </w:r>
    </w:p>
    <w:p>
      <w:pPr>
        <w:keepNext w:val="0"/>
        <w:keepLines w:val="0"/>
        <w:widowControl/>
        <w:suppressLineNumbers w:val="0"/>
        <w:jc w:val="left"/>
        <w:rPr>
          <w:rFonts w:hint="eastAsia" w:asciiTheme="minorHAnsi" w:hAnsiTheme="minorHAnsi" w:eastAsiaTheme="majorEastAsia" w:cstheme="minorHAnsi"/>
          <w:szCs w:val="21"/>
          <w:lang w:val="en-US" w:eastAsia="zh-CN"/>
        </w:rPr>
      </w:pPr>
    </w:p>
    <w:p>
      <w:pPr>
        <w:spacing w:before="1" w:line="220" w:lineRule="auto"/>
        <w:rPr>
          <w:rFonts w:hint="eastAsia" w:ascii="宋体" w:hAnsi="宋体" w:eastAsia="宋体" w:cs="宋体"/>
          <w:spacing w:val="-2"/>
          <w:sz w:val="21"/>
          <w:szCs w:val="21"/>
          <w:lang w:val="en-US" w:eastAsia="zh-CN"/>
        </w:rPr>
      </w:pPr>
    </w:p>
    <w:tbl>
      <w:tblPr>
        <w:tblStyle w:val="12"/>
        <w:tblW w:w="0" w:type="auto"/>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3"/>
        <w:gridCol w:w="61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shd w:val="clear" w:color="auto" w:fill="BEBEBE" w:themeFill="background1" w:themeFillShade="BF"/>
          </w:tcPr>
          <w:p>
            <w:pPr>
              <w:widowControl w:val="0"/>
              <w:spacing w:before="1" w:line="220" w:lineRule="auto"/>
              <w:jc w:val="center"/>
              <w:rPr>
                <w:rFonts w:hint="eastAsia" w:ascii="宋体" w:hAnsi="宋体" w:eastAsia="宋体" w:cs="宋体"/>
                <w:b/>
                <w:bCs/>
                <w:spacing w:val="-2"/>
                <w:sz w:val="21"/>
                <w:szCs w:val="21"/>
                <w:vertAlign w:val="baseline"/>
                <w:lang w:val="en-US" w:eastAsia="zh-CN"/>
              </w:rPr>
            </w:pPr>
            <w:r>
              <w:rPr>
                <w:rFonts w:hint="eastAsia" w:ascii="宋体" w:hAnsi="宋体" w:eastAsia="宋体" w:cs="宋体"/>
                <w:b/>
                <w:bCs/>
                <w:spacing w:val="-2"/>
                <w:sz w:val="21"/>
                <w:szCs w:val="21"/>
                <w:vertAlign w:val="baseline"/>
                <w:lang w:val="en-US" w:eastAsia="zh-CN"/>
              </w:rPr>
              <w:t>日程</w:t>
            </w:r>
          </w:p>
        </w:tc>
        <w:tc>
          <w:tcPr>
            <w:tcW w:w="6133" w:type="dxa"/>
            <w:shd w:val="clear" w:color="auto" w:fill="BEBEBE" w:themeFill="background1" w:themeFillShade="BF"/>
          </w:tcPr>
          <w:p>
            <w:pPr>
              <w:widowControl w:val="0"/>
              <w:spacing w:before="1" w:line="220" w:lineRule="auto"/>
              <w:jc w:val="center"/>
              <w:rPr>
                <w:rFonts w:hint="default" w:ascii="宋体" w:hAnsi="宋体" w:eastAsia="宋体" w:cs="宋体"/>
                <w:b/>
                <w:bCs/>
                <w:spacing w:val="-2"/>
                <w:sz w:val="21"/>
                <w:szCs w:val="21"/>
                <w:vertAlign w:val="baseline"/>
                <w:lang w:val="en-US" w:eastAsia="zh-CN"/>
              </w:rPr>
            </w:pPr>
            <w:r>
              <w:rPr>
                <w:rFonts w:hint="eastAsia" w:ascii="宋体" w:hAnsi="宋体" w:cs="宋体"/>
                <w:b/>
                <w:bCs/>
                <w:spacing w:val="-2"/>
                <w:sz w:val="21"/>
                <w:szCs w:val="21"/>
                <w:vertAlign w:val="baseline"/>
                <w:lang w:val="en-US" w:eastAsia="zh-CN"/>
              </w:rPr>
              <w:t>日程安排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1</w:t>
            </w:r>
          </w:p>
        </w:tc>
        <w:tc>
          <w:tcPr>
            <w:tcW w:w="6133" w:type="dxa"/>
            <w:vAlign w:val="top"/>
          </w:tcPr>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Departure</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启程出发</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Arrived in Singapore</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抵达新加坡</w:t>
            </w:r>
          </w:p>
          <w:p>
            <w:pPr>
              <w:pStyle w:val="27"/>
              <w:widowControl w:val="0"/>
              <w:spacing w:before="168" w:line="176" w:lineRule="auto"/>
              <w:jc w:val="left"/>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Ice-Breaker</w:t>
            </w:r>
          </w:p>
          <w:p>
            <w:pPr>
              <w:pStyle w:val="27"/>
              <w:widowControl w:val="0"/>
              <w:spacing w:before="168" w:line="176" w:lineRule="auto"/>
              <w:jc w:val="left"/>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破冰之旅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0" w:hRule="atLeast"/>
        </w:trPr>
        <w:tc>
          <w:tcPr>
            <w:tcW w:w="2033" w:type="dxa"/>
          </w:tcPr>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2</w:t>
            </w:r>
          </w:p>
        </w:tc>
        <w:tc>
          <w:tcPr>
            <w:tcW w:w="613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Motion Systems in Robotics </w:t>
            </w:r>
          </w:p>
          <w:p>
            <w:pPr>
              <w:pStyle w:val="27"/>
              <w:widowControl w:val="0"/>
              <w:spacing w:before="168" w:line="176" w:lineRule="auto"/>
              <w:jc w:val="both"/>
              <w:rPr>
                <w:rFonts w:hint="eastAsia"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Motion Planning in Robotics </w:t>
            </w:r>
          </w:p>
          <w:p>
            <w:pPr>
              <w:pStyle w:val="27"/>
              <w:widowControl w:val="0"/>
              <w:numPr>
                <w:ilvl w:val="0"/>
                <w:numId w:val="0"/>
              </w:numPr>
              <w:spacing w:before="168" w:line="176" w:lineRule="auto"/>
              <w:ind w:leftChars="0"/>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机器人运动系统</w:t>
            </w:r>
          </w:p>
          <w:p>
            <w:pPr>
              <w:pStyle w:val="27"/>
              <w:widowControl w:val="0"/>
              <w:numPr>
                <w:ilvl w:val="0"/>
                <w:numId w:val="0"/>
              </w:numPr>
              <w:spacing w:before="168" w:line="176" w:lineRule="auto"/>
              <w:ind w:leftChars="0"/>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机械臂运动规划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3"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3</w:t>
            </w:r>
          </w:p>
        </w:tc>
        <w:tc>
          <w:tcPr>
            <w:tcW w:w="6133" w:type="dxa"/>
            <w:vAlign w:val="top"/>
          </w:tcPr>
          <w:p>
            <w:pPr>
              <w:pStyle w:val="27"/>
              <w:widowControl w:val="0"/>
              <w:spacing w:before="168" w:line="176" w:lineRule="auto"/>
              <w:jc w:val="both"/>
              <w:rPr>
                <w:rFonts w:hint="eastAsia"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 xml:space="preserve">Processes in Industrial Automation </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Control in Industrial Automation</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eastAsia" w:ascii="宋体" w:hAnsi="宋体" w:eastAsia="宋体" w:cs="宋体"/>
                <w:spacing w:val="-1"/>
                <w:sz w:val="21"/>
                <w:szCs w:val="21"/>
                <w:lang w:val="en-US" w:eastAsia="zh-CN"/>
              </w:rPr>
              <w:t>工业自动化过程</w:t>
            </w:r>
          </w:p>
          <w:p>
            <w:pPr>
              <w:pStyle w:val="27"/>
              <w:widowControl w:val="0"/>
              <w:spacing w:before="168" w:line="176" w:lineRule="auto"/>
              <w:jc w:val="both"/>
              <w:rPr>
                <w:rFonts w:hint="eastAsia" w:ascii="宋体" w:hAnsi="宋体" w:eastAsia="宋体" w:cs="宋体"/>
                <w:spacing w:val="-2"/>
                <w:sz w:val="21"/>
                <w:szCs w:val="21"/>
                <w:lang w:val="en-US" w:eastAsia="zh-CN"/>
              </w:rPr>
            </w:pPr>
            <w:r>
              <w:rPr>
                <w:rFonts w:hint="eastAsia" w:ascii="宋体" w:hAnsi="宋体" w:eastAsia="宋体" w:cs="宋体"/>
                <w:spacing w:val="-1"/>
                <w:sz w:val="21"/>
                <w:szCs w:val="21"/>
                <w:lang w:val="en-US" w:eastAsia="zh-CN"/>
              </w:rPr>
              <w:t>自动化过程控制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033"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eastAsia" w:ascii="宋体" w:hAnsi="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4</w:t>
            </w:r>
          </w:p>
        </w:tc>
        <w:tc>
          <w:tcPr>
            <w:tcW w:w="6133" w:type="dxa"/>
            <w:vAlign w:val="top"/>
          </w:tcPr>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Serial Communications </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Network Interface to Serial Communications</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 xml:space="preserve">串行通信 </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eastAsia" w:ascii="宋体" w:hAnsi="宋体" w:eastAsia="宋体" w:cs="宋体"/>
                <w:snapToGrid w:val="0"/>
                <w:color w:val="000000"/>
                <w:kern w:val="0"/>
                <w:sz w:val="21"/>
                <w:szCs w:val="21"/>
                <w:lang w:val="en-US" w:eastAsia="zh-CN" w:bidi="ar-SA"/>
              </w:rPr>
              <w:t>串行通信网络接口</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Sensors in Internet of Things </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Network Interface to Sensors </w:t>
            </w:r>
          </w:p>
          <w:p>
            <w:pPr>
              <w:pStyle w:val="27"/>
              <w:widowControl w:val="0"/>
              <w:spacing w:before="168" w:line="176" w:lineRule="auto"/>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物联网发展的基石 -  传感器</w:t>
            </w:r>
          </w:p>
          <w:p>
            <w:pPr>
              <w:pStyle w:val="27"/>
              <w:widowControl w:val="0"/>
              <w:numPr>
                <w:ilvl w:val="0"/>
                <w:numId w:val="0"/>
              </w:numPr>
              <w:spacing w:before="168" w:line="176" w:lineRule="auto"/>
              <w:ind w:leftChars="0"/>
              <w:jc w:val="both"/>
              <w:rPr>
                <w:rFonts w:hint="eastAsia" w:ascii="宋体" w:hAnsi="宋体" w:eastAsia="宋体" w:cs="宋体"/>
                <w:snapToGrid w:val="0"/>
                <w:color w:val="000000"/>
                <w:kern w:val="0"/>
                <w:sz w:val="21"/>
                <w:szCs w:val="21"/>
                <w:lang w:val="en-US" w:eastAsia="zh-CN" w:bidi="ar-SA"/>
              </w:rPr>
            </w:pPr>
            <w:r>
              <w:rPr>
                <w:rFonts w:hint="default" w:ascii="宋体" w:hAnsi="宋体" w:eastAsia="宋体" w:cs="宋体"/>
                <w:sz w:val="21"/>
                <w:szCs w:val="21"/>
                <w:lang w:val="en-US" w:eastAsia="zh-CN"/>
              </w:rPr>
              <w:t>传感器网络接口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 w:hRule="atLeast"/>
        </w:trPr>
        <w:tc>
          <w:tcPr>
            <w:tcW w:w="2033" w:type="dxa"/>
          </w:tcPr>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rPr>
                <w:rFonts w:hint="eastAsia" w:ascii="宋体" w:hAnsi="宋体" w:eastAsia="宋体" w:cs="宋体"/>
                <w:spacing w:val="-2"/>
                <w:sz w:val="21"/>
                <w:szCs w:val="21"/>
                <w:vertAlign w:val="baseline"/>
                <w:lang w:val="en-US" w:eastAsia="zh-CN"/>
              </w:rPr>
            </w:pPr>
          </w:p>
          <w:p>
            <w:pPr>
              <w:widowControl w:val="0"/>
              <w:spacing w:before="1" w:line="220" w:lineRule="auto"/>
              <w:ind w:firstLine="412" w:firstLineChars="200"/>
              <w:rPr>
                <w:rFonts w:hint="default" w:ascii="宋体" w:hAnsi="宋体" w:eastAsia="宋体" w:cs="宋体"/>
                <w:spacing w:val="-2"/>
                <w:sz w:val="21"/>
                <w:szCs w:val="21"/>
                <w:vertAlign w:val="baseline"/>
                <w:lang w:val="en-US" w:eastAsia="zh-CN"/>
              </w:rPr>
            </w:pPr>
            <w:r>
              <w:rPr>
                <w:rFonts w:hint="eastAsia" w:ascii="宋体" w:hAnsi="宋体" w:cs="宋体"/>
                <w:spacing w:val="-2"/>
                <w:sz w:val="21"/>
                <w:szCs w:val="21"/>
                <w:vertAlign w:val="baseline"/>
                <w:lang w:val="en-US" w:eastAsia="zh-CN"/>
              </w:rPr>
              <w:t>Day 5</w:t>
            </w:r>
          </w:p>
        </w:tc>
        <w:tc>
          <w:tcPr>
            <w:tcW w:w="6133" w:type="dxa"/>
            <w:vAlign w:val="top"/>
          </w:tcPr>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Actuators in Internet of Things </w:t>
            </w:r>
          </w:p>
          <w:p>
            <w:pPr>
              <w:pStyle w:val="27"/>
              <w:widowControl w:val="0"/>
              <w:spacing w:before="168" w:line="176" w:lineRule="auto"/>
              <w:jc w:val="both"/>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 xml:space="preserve">Network Interface to Actuators </w:t>
            </w:r>
          </w:p>
          <w:p>
            <w:pPr>
              <w:pStyle w:val="27"/>
              <w:widowControl w:val="0"/>
              <w:numPr>
                <w:ilvl w:val="0"/>
                <w:numId w:val="0"/>
              </w:numPr>
              <w:spacing w:before="168" w:line="176" w:lineRule="auto"/>
              <w:ind w:leftChars="0"/>
              <w:jc w:val="both"/>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物联网中的执行器 </w:t>
            </w:r>
          </w:p>
          <w:p>
            <w:pPr>
              <w:pStyle w:val="27"/>
              <w:widowControl w:val="0"/>
              <w:spacing w:before="168" w:line="176" w:lineRule="auto"/>
              <w:jc w:val="both"/>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致动器网络接口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eastAsia" w:ascii="宋体" w:hAnsi="宋体" w:cs="宋体"/>
                <w:spacing w:val="-2"/>
                <w:sz w:val="21"/>
                <w:szCs w:val="21"/>
                <w:vertAlign w:val="baseline"/>
                <w:lang w:val="en-US" w:eastAsia="zh-CN"/>
              </w:rPr>
            </w:pPr>
          </w:p>
          <w:p>
            <w:pPr>
              <w:pStyle w:val="27"/>
              <w:widowControl w:val="0"/>
              <w:spacing w:before="171" w:line="174" w:lineRule="auto"/>
              <w:ind w:firstLine="412" w:firstLineChars="200"/>
              <w:jc w:val="left"/>
              <w:rPr>
                <w:rFonts w:hint="eastAsia" w:ascii="宋体" w:hAnsi="宋体" w:cs="宋体"/>
                <w:spacing w:val="-2"/>
                <w:sz w:val="21"/>
                <w:szCs w:val="21"/>
                <w:vertAlign w:val="baseline"/>
                <w:lang w:val="en-US" w:eastAsia="zh-CN"/>
              </w:rPr>
            </w:pPr>
          </w:p>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cs="宋体"/>
                <w:spacing w:val="-2"/>
                <w:sz w:val="21"/>
                <w:szCs w:val="21"/>
                <w:vertAlign w:val="baseline"/>
                <w:lang w:val="en-US" w:eastAsia="zh-CN"/>
              </w:rPr>
              <w:t>Day 6</w:t>
            </w:r>
          </w:p>
        </w:tc>
        <w:tc>
          <w:tcPr>
            <w:tcW w:w="6133" w:type="dxa"/>
            <w:vAlign w:val="top"/>
          </w:tcPr>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Project Presentation &amp; Closing Remarks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访学汇报与结业典礼</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小组项目展示 </w:t>
            </w:r>
          </w:p>
          <w:p>
            <w:pPr>
              <w:pStyle w:val="27"/>
              <w:widowControl w:val="0"/>
              <w:spacing w:before="171" w:line="174" w:lineRule="auto"/>
              <w:jc w:val="left"/>
              <w:rPr>
                <w:rFonts w:hint="default" w:ascii="宋体" w:hAnsi="宋体" w:eastAsia="宋体" w:cs="宋体"/>
                <w:spacing w:val="-2"/>
                <w:kern w:val="2"/>
                <w:sz w:val="21"/>
                <w:szCs w:val="21"/>
                <w:vertAlign w:val="baseline"/>
                <w:lang w:eastAsia="zh-CN" w:bidi="ar-SA"/>
              </w:rPr>
            </w:pPr>
            <w:r>
              <w:rPr>
                <w:rFonts w:hint="eastAsia" w:ascii="宋体" w:hAnsi="宋体" w:eastAsia="宋体" w:cs="宋体"/>
                <w:spacing w:val="-2"/>
                <w:kern w:val="2"/>
                <w:sz w:val="21"/>
                <w:szCs w:val="21"/>
                <w:vertAlign w:val="baseline"/>
                <w:lang w:val="en-US" w:eastAsia="zh-CN" w:bidi="ar-SA"/>
              </w:rPr>
              <w:t xml:space="preserve">Opportunities for International </w:t>
            </w:r>
            <w:r>
              <w:rPr>
                <w:rFonts w:hint="default" w:ascii="宋体" w:hAnsi="宋体" w:eastAsia="宋体" w:cs="宋体"/>
                <w:spacing w:val="-2"/>
                <w:kern w:val="2"/>
                <w:sz w:val="21"/>
                <w:szCs w:val="21"/>
                <w:vertAlign w:val="baseline"/>
                <w:lang w:eastAsia="zh-CN" w:bidi="ar-SA"/>
              </w:rPr>
              <w:t>Students</w:t>
            </w:r>
          </w:p>
          <w:p>
            <w:pPr>
              <w:pStyle w:val="27"/>
              <w:widowControl w:val="0"/>
              <w:spacing w:before="171" w:line="174" w:lineRule="auto"/>
              <w:jc w:val="left"/>
              <w:rPr>
                <w:rFonts w:hint="eastAsia" w:ascii="宋体" w:hAnsi="宋体" w:eastAsia="宋体" w:cs="宋体"/>
                <w:spacing w:val="-2"/>
                <w:kern w:val="2"/>
                <w:sz w:val="21"/>
                <w:szCs w:val="21"/>
                <w:vertAlign w:val="baseline"/>
                <w:lang w:val="en-US" w:eastAsia="zh-CN" w:bidi="ar-SA"/>
              </w:rPr>
            </w:pPr>
            <w:r>
              <w:rPr>
                <w:rFonts w:hint="eastAsia" w:ascii="宋体" w:hAnsi="宋体" w:eastAsia="宋体" w:cs="宋体"/>
                <w:spacing w:val="-2"/>
                <w:kern w:val="2"/>
                <w:sz w:val="21"/>
                <w:szCs w:val="21"/>
                <w:vertAlign w:val="baseline"/>
                <w:lang w:val="en-US" w:eastAsia="zh-CN" w:bidi="ar-SA"/>
              </w:rPr>
              <w:t xml:space="preserve">Group1/2/3/4/5...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cs="宋体"/>
                <w:spacing w:val="-2"/>
                <w:sz w:val="21"/>
                <w:szCs w:val="21"/>
                <w:vertAlign w:val="baseline"/>
                <w:lang w:val="en-US" w:eastAsia="zh-CN"/>
              </w:rPr>
              <w:t>Day 7</w:t>
            </w:r>
          </w:p>
        </w:tc>
        <w:tc>
          <w:tcPr>
            <w:tcW w:w="6133" w:type="dxa"/>
            <w:vAlign w:val="top"/>
          </w:tcPr>
          <w:p>
            <w:pPr>
              <w:pStyle w:val="27"/>
              <w:widowControl w:val="0"/>
              <w:spacing w:before="171" w:line="174" w:lineRule="auto"/>
              <w:jc w:val="left"/>
              <w:rPr>
                <w:rFonts w:hint="default" w:ascii="宋体" w:hAnsi="宋体" w:eastAsia="宋体" w:cs="宋体"/>
                <w:spacing w:val="-1"/>
                <w:sz w:val="21"/>
                <w:szCs w:val="21"/>
                <w:lang w:val="en-US" w:eastAsia="zh-CN"/>
              </w:rPr>
            </w:pPr>
            <w:r>
              <w:rPr>
                <w:rFonts w:hint="default" w:ascii="宋体" w:hAnsi="宋体" w:eastAsia="宋体" w:cs="宋体"/>
                <w:spacing w:val="-1"/>
                <w:sz w:val="21"/>
                <w:szCs w:val="21"/>
                <w:lang w:val="en-US" w:eastAsia="zh-CN"/>
              </w:rPr>
              <w:t>上午:牛车水-小印度-鱼尾狮公园-甘傍格南-哈芝巷</w:t>
            </w:r>
          </w:p>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default" w:ascii="宋体" w:hAnsi="宋体" w:eastAsia="宋体" w:cs="宋体"/>
                <w:spacing w:val="-1"/>
                <w:sz w:val="21"/>
                <w:szCs w:val="21"/>
                <w:lang w:val="en-US" w:eastAsia="zh-CN"/>
              </w:rPr>
              <w:t>下午:参访世界文化遗产/新加坡植物园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2033" w:type="dxa"/>
          </w:tcPr>
          <w:p>
            <w:pPr>
              <w:pStyle w:val="27"/>
              <w:widowControl w:val="0"/>
              <w:spacing w:before="171" w:line="174" w:lineRule="auto"/>
              <w:ind w:firstLine="412" w:firstLineChars="200"/>
              <w:jc w:val="left"/>
              <w:rPr>
                <w:rFonts w:hint="default" w:ascii="宋体" w:hAnsi="宋体" w:eastAsia="宋体" w:cs="宋体"/>
                <w:spacing w:val="-2"/>
                <w:kern w:val="2"/>
                <w:sz w:val="21"/>
                <w:szCs w:val="21"/>
                <w:vertAlign w:val="baseline"/>
                <w:lang w:val="en-US" w:eastAsia="zh-CN" w:bidi="ar-SA"/>
              </w:rPr>
            </w:pPr>
            <w:r>
              <w:rPr>
                <w:rFonts w:hint="eastAsia" w:ascii="宋体" w:hAnsi="宋体" w:cs="宋体"/>
                <w:spacing w:val="-2"/>
                <w:sz w:val="21"/>
                <w:szCs w:val="21"/>
                <w:vertAlign w:val="baseline"/>
                <w:lang w:val="en-US" w:eastAsia="zh-CN"/>
              </w:rPr>
              <w:t>Day 8</w:t>
            </w:r>
          </w:p>
        </w:tc>
        <w:tc>
          <w:tcPr>
            <w:tcW w:w="6133" w:type="dxa"/>
            <w:vAlign w:val="top"/>
          </w:tcPr>
          <w:p>
            <w:pPr>
              <w:pStyle w:val="27"/>
              <w:widowControl w:val="0"/>
              <w:spacing w:before="171" w:line="174" w:lineRule="auto"/>
              <w:jc w:val="left"/>
              <w:rPr>
                <w:rFonts w:hint="default" w:ascii="宋体" w:hAnsi="宋体" w:eastAsia="宋体" w:cs="宋体"/>
                <w:spacing w:val="-2"/>
                <w:kern w:val="2"/>
                <w:sz w:val="21"/>
                <w:szCs w:val="21"/>
                <w:vertAlign w:val="baseline"/>
                <w:lang w:val="en-US" w:eastAsia="zh-CN" w:bidi="ar-SA"/>
              </w:rPr>
            </w:pPr>
            <w:r>
              <w:rPr>
                <w:rFonts w:hint="eastAsia" w:ascii="宋体" w:hAnsi="宋体" w:eastAsia="宋体" w:cs="宋体"/>
                <w:spacing w:val="-2"/>
                <w:sz w:val="21"/>
                <w:szCs w:val="21"/>
              </w:rPr>
              <w:t>到达国内 Back to China :)</w:t>
            </w:r>
          </w:p>
        </w:tc>
      </w:tr>
    </w:tbl>
    <w:p>
      <w:pPr>
        <w:pStyle w:val="25"/>
        <w:spacing w:line="380" w:lineRule="exact"/>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(注：以上行程安排仅为参考，实际行程安排以最终</w:t>
      </w:r>
      <w:r>
        <w:rPr>
          <w:rFonts w:hint="eastAsia" w:asciiTheme="minorEastAsia" w:hAnsiTheme="minorEastAsia" w:eastAsiaTheme="minorEastAsia"/>
          <w:color w:val="auto"/>
          <w:sz w:val="18"/>
          <w:szCs w:val="18"/>
          <w:lang w:val="en-US" w:eastAsia="zh-CN"/>
        </w:rPr>
        <w:t>南大</w:t>
      </w:r>
      <w:r>
        <w:rPr>
          <w:rFonts w:hint="eastAsia" w:asciiTheme="minorEastAsia" w:hAnsiTheme="minorEastAsia" w:eastAsiaTheme="minorEastAsia"/>
          <w:color w:val="auto"/>
          <w:sz w:val="18"/>
          <w:szCs w:val="18"/>
        </w:rPr>
        <w:t>校方出具的行程为准)</w:t>
      </w:r>
    </w:p>
    <w:p>
      <w:pPr>
        <w:spacing w:line="360" w:lineRule="auto"/>
        <w:rPr>
          <w:rFonts w:hint="default" w:eastAsia="宋体" w:cs="Calibri" w:asciiTheme="minorHAnsi" w:hAnsiTheme="minorHAnsi"/>
          <w:szCs w:val="21"/>
          <w:lang w:val="en-US" w:eastAsia="zh-CN"/>
        </w:rPr>
      </w:pPr>
    </w:p>
    <w:bookmarkEnd w:id="1"/>
    <w:p>
      <w:pPr>
        <w:spacing w:line="360" w:lineRule="auto"/>
        <w:rPr>
          <w:rFonts w:cs="Calibri" w:asciiTheme="minorHAnsi" w:hAnsiTheme="minorHAnsi"/>
          <w:szCs w:val="21"/>
        </w:rPr>
      </w:pPr>
      <w:r>
        <w:rPr>
          <w:rFonts w:cs="Calibri" w:asciiTheme="minorHAnsi" w:hAnsiTheme="minorHAnsi"/>
          <w:szCs w:val="21"/>
        </w:rPr>
        <w:t>【</w:t>
      </w:r>
      <w:r>
        <w:rPr>
          <w:rFonts w:hint="eastAsia" w:cs="Calibri" w:asciiTheme="minorHAnsi" w:hAnsiTheme="minorHAnsi"/>
          <w:b/>
          <w:szCs w:val="21"/>
        </w:rPr>
        <w:t>项目收获</w:t>
      </w:r>
      <w:r>
        <w:rPr>
          <w:rFonts w:cs="Calibri" w:asciiTheme="minorHAnsi" w:hAnsiTheme="minorHAnsi"/>
          <w:szCs w:val="21"/>
        </w:rPr>
        <w:t>】</w:t>
      </w:r>
    </w:p>
    <w:p>
      <w:pPr>
        <w:spacing w:line="360" w:lineRule="auto"/>
        <w:ind w:firstLine="430"/>
        <w:rPr>
          <w:rFonts w:hint="eastAsia" w:cs="Calibri" w:asciiTheme="minorHAnsi" w:hAnsiTheme="minorHAnsi"/>
          <w:szCs w:val="21"/>
          <w:lang w:val="en-US" w:eastAsia="zh-CN"/>
        </w:rPr>
      </w:pPr>
      <w:r>
        <w:rPr>
          <w:rFonts w:hint="eastAsia" w:cs="Calibri" w:asciiTheme="minorHAnsi" w:hAnsiTheme="minorHAnsi"/>
          <w:szCs w:val="21"/>
          <w:lang w:val="en-US" w:eastAsia="zh-CN"/>
        </w:rPr>
        <w:t>报名成功的学员将收到南洋理工大学主办部门签发的邀请函。 顺利完成本课程并通过结业的学员，将获得由南洋理工大学主办部门官方颁发的结业证书，优胜小组成员还将额外获得推荐信，即优秀学员证明。</w:t>
      </w:r>
    </w:p>
    <w:p>
      <w:pPr>
        <w:spacing w:line="360" w:lineRule="auto"/>
        <w:ind w:firstLine="430"/>
        <w:rPr>
          <w:rFonts w:hint="eastAsia" w:cs="Calibri" w:asciiTheme="minorHAnsi" w:hAnsiTheme="minorHAnsi"/>
          <w:szCs w:val="21"/>
          <w:lang w:val="en-US" w:eastAsia="zh-CN"/>
        </w:rPr>
      </w:pPr>
    </w:p>
    <w:p>
      <w:pPr>
        <w:widowControl/>
        <w:spacing w:line="360" w:lineRule="auto"/>
        <w:jc w:val="left"/>
        <w:rPr>
          <w:rFonts w:hint="eastAsia" w:cs="Calibri" w:asciiTheme="minorHAnsi" w:hAnsiTheme="minorHAnsi"/>
          <w:kern w:val="0"/>
          <w:sz w:val="22"/>
        </w:rPr>
      </w:pPr>
      <w:r>
        <w:rPr>
          <w:rFonts w:hint="eastAsia" w:cs="Calibri" w:asciiTheme="minorHAnsi" w:hAnsiTheme="minorHAnsi"/>
          <w:kern w:val="0"/>
          <w:sz w:val="22"/>
        </w:rPr>
        <w:t xml:space="preserve">Official Arrangements </w:t>
      </w:r>
    </w:p>
    <w:p>
      <w:pPr>
        <w:widowControl/>
        <w:numPr>
          <w:ilvl w:val="0"/>
          <w:numId w:val="3"/>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Official Invitation </w:t>
      </w:r>
    </w:p>
    <w:p>
      <w:pPr>
        <w:widowControl/>
        <w:numPr>
          <w:ilvl w:val="0"/>
          <w:numId w:val="3"/>
        </w:numPr>
        <w:spacing w:line="360" w:lineRule="auto"/>
        <w:ind w:left="420" w:leftChars="0" w:hanging="420" w:firstLineChars="0"/>
        <w:jc w:val="left"/>
        <w:rPr>
          <w:rFonts w:hint="eastAsia" w:cs="Calibri" w:asciiTheme="minorHAnsi" w:hAnsiTheme="minorHAnsi"/>
          <w:kern w:val="0"/>
          <w:sz w:val="22"/>
        </w:rPr>
      </w:pPr>
      <w:r>
        <w:rPr>
          <w:rFonts w:hint="eastAsia" w:cs="Calibri" w:asciiTheme="minorHAnsi" w:hAnsiTheme="minorHAnsi"/>
          <w:kern w:val="0"/>
          <w:sz w:val="22"/>
        </w:rPr>
        <w:t xml:space="preserve">Certificates of Program Completion </w:t>
      </w:r>
    </w:p>
    <w:p>
      <w:pPr>
        <w:keepNext w:val="0"/>
        <w:keepLines w:val="0"/>
        <w:widowControl/>
        <w:suppressLineNumbers w:val="0"/>
        <w:jc w:val="left"/>
        <w:rPr>
          <w:rFonts w:hint="eastAsia" w:asciiTheme="minorHAnsi" w:hAnsiTheme="minorHAnsi" w:eastAsiaTheme="majorEastAsia" w:cstheme="minorHAnsi"/>
          <w:szCs w:val="21"/>
        </w:rPr>
      </w:pPr>
      <w:r>
        <w:rPr>
          <w:rFonts w:ascii="宋体" w:hAnsi="宋体" w:eastAsia="宋体" w:cs="宋体"/>
          <w:kern w:val="0"/>
          <w:sz w:val="24"/>
          <w:szCs w:val="24"/>
          <w:lang w:val="en-US" w:eastAsia="zh-CN" w:bidi="ar"/>
        </w:rPr>
        <w:drawing>
          <wp:anchor distT="0" distB="0" distL="114300" distR="114300" simplePos="0" relativeHeight="251659264" behindDoc="0" locked="0" layoutInCell="1" allowOverlap="1">
            <wp:simplePos x="0" y="0"/>
            <wp:positionH relativeFrom="column">
              <wp:posOffset>2308860</wp:posOffset>
            </wp:positionH>
            <wp:positionV relativeFrom="paragraph">
              <wp:posOffset>158750</wp:posOffset>
            </wp:positionV>
            <wp:extent cx="1837055" cy="1284605"/>
            <wp:effectExtent l="0" t="0" r="4445" b="10795"/>
            <wp:wrapNone/>
            <wp:docPr id="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6"/>
                    <pic:cNvPicPr>
                      <a:picLocks noChangeAspect="1"/>
                    </pic:cNvPicPr>
                  </pic:nvPicPr>
                  <pic:blipFill>
                    <a:blip r:embed="rId5"/>
                    <a:stretch>
                      <a:fillRect/>
                    </a:stretch>
                  </pic:blipFill>
                  <pic:spPr>
                    <a:xfrm>
                      <a:off x="0" y="0"/>
                      <a:ext cx="1837055" cy="1284605"/>
                    </a:xfrm>
                    <a:prstGeom prst="rect">
                      <a:avLst/>
                    </a:prstGeom>
                    <a:noFill/>
                    <a:ln w="9525">
                      <a:noFill/>
                    </a:ln>
                  </pic:spPr>
                </pic:pic>
              </a:graphicData>
            </a:graphic>
          </wp:anchor>
        </w:drawing>
      </w:r>
      <w:r>
        <w:rPr>
          <w:rFonts w:ascii="宋体" w:hAnsi="宋体" w:eastAsia="宋体" w:cs="宋体"/>
          <w:kern w:val="0"/>
          <w:sz w:val="24"/>
          <w:szCs w:val="24"/>
          <w:lang w:val="en-US" w:eastAsia="zh-CN" w:bidi="ar"/>
        </w:rPr>
        <w:drawing>
          <wp:inline distT="0" distB="0" distL="114300" distR="114300">
            <wp:extent cx="2114550" cy="30099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6"/>
                    <a:stretch>
                      <a:fillRect/>
                    </a:stretch>
                  </pic:blipFill>
                  <pic:spPr>
                    <a:xfrm>
                      <a:off x="0" y="0"/>
                      <a:ext cx="2114550" cy="3009900"/>
                    </a:xfrm>
                    <a:prstGeom prst="rect">
                      <a:avLst/>
                    </a:prstGeom>
                    <a:noFill/>
                    <a:ln w="9525">
                      <a:noFill/>
                    </a:ln>
                  </pic:spPr>
                </pic:pic>
              </a:graphicData>
            </a:graphic>
          </wp:inline>
        </w:drawing>
      </w:r>
      <w:r>
        <w:rPr>
          <w:rFonts w:ascii="宋体" w:hAnsi="宋体" w:eastAsia="宋体" w:cs="宋体"/>
          <w:kern w:val="0"/>
          <w:sz w:val="24"/>
          <w:szCs w:val="24"/>
          <w:lang w:val="en-US" w:eastAsia="zh-CN" w:bidi="ar"/>
        </w:rPr>
        <w:drawing>
          <wp:inline distT="0" distB="0" distL="114300" distR="114300">
            <wp:extent cx="2133600" cy="1485900"/>
            <wp:effectExtent l="0" t="0" r="0" b="0"/>
            <wp:docPr id="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IMG_256"/>
                    <pic:cNvPicPr>
                      <a:picLocks noChangeAspect="1"/>
                    </pic:cNvPicPr>
                  </pic:nvPicPr>
                  <pic:blipFill>
                    <a:blip r:embed="rId7"/>
                    <a:stretch>
                      <a:fillRect/>
                    </a:stretch>
                  </pic:blipFill>
                  <pic:spPr>
                    <a:xfrm>
                      <a:off x="0" y="0"/>
                      <a:ext cx="2133600" cy="1485900"/>
                    </a:xfrm>
                    <a:prstGeom prst="rect">
                      <a:avLst/>
                    </a:prstGeom>
                    <a:noFill/>
                    <a:ln w="9525">
                      <a:noFill/>
                    </a:ln>
                  </pic:spPr>
                </pic:pic>
              </a:graphicData>
            </a:graphic>
          </wp:inline>
        </w:drawing>
      </w:r>
    </w:p>
    <w:p>
      <w:pPr>
        <w:widowControl/>
        <w:spacing w:line="360" w:lineRule="auto"/>
        <w:jc w:val="left"/>
        <w:rPr>
          <w:rFonts w:hint="eastAsia" w:asciiTheme="minorHAnsi" w:hAnsiTheme="minorHAnsi" w:eastAsiaTheme="majorEastAsia" w:cstheme="minorHAnsi"/>
          <w:szCs w:val="21"/>
        </w:rPr>
      </w:pPr>
    </w:p>
    <w:p>
      <w:pPr>
        <w:widowControl/>
        <w:spacing w:line="360" w:lineRule="auto"/>
        <w:jc w:val="left"/>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图：新加坡南洋理工大学项目证书，结业证书与推荐信样图</w:t>
      </w: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cs="Calibri" w:asciiTheme="minorHAnsi" w:hAnsiTheme="minorHAnsi"/>
          <w:szCs w:val="21"/>
        </w:rPr>
      </w:pPr>
      <w:r>
        <w:rPr>
          <w:rFonts w:cs="Calibri" w:asciiTheme="minorHAnsi" w:hAnsiTheme="minorHAnsi"/>
          <w:szCs w:val="21"/>
        </w:rPr>
        <w:t>【</w:t>
      </w:r>
      <w:r>
        <w:rPr>
          <w:rFonts w:hint="eastAsia" w:asciiTheme="minorHAnsi" w:hAnsiTheme="minorHAnsi" w:eastAsiaTheme="majorEastAsia" w:cstheme="minorHAnsi"/>
          <w:b/>
          <w:bCs/>
          <w:kern w:val="0"/>
          <w:szCs w:val="21"/>
        </w:rPr>
        <w:t>项目</w:t>
      </w:r>
      <w:r>
        <w:rPr>
          <w:rFonts w:asciiTheme="minorHAnsi" w:hAnsiTheme="minorHAnsi" w:eastAsiaTheme="majorEastAsia" w:cstheme="minorHAnsi"/>
          <w:b/>
          <w:bCs/>
          <w:kern w:val="0"/>
          <w:szCs w:val="21"/>
        </w:rPr>
        <w:t>费用</w:t>
      </w:r>
      <w:r>
        <w:rPr>
          <w:rFonts w:cs="Calibri" w:asciiTheme="minorHAnsi" w:hAnsiTheme="minorHAnsi"/>
          <w:szCs w:val="21"/>
        </w:rPr>
        <w:t>】</w:t>
      </w:r>
    </w:p>
    <w:p>
      <w:pPr>
        <w:widowControl/>
        <w:spacing w:line="360" w:lineRule="auto"/>
        <w:jc w:val="left"/>
        <w:rPr>
          <w:rFonts w:cs="Calibri" w:asciiTheme="minorHAnsi" w:hAnsiTheme="minorHAnsi"/>
          <w:szCs w:val="21"/>
        </w:rPr>
      </w:pPr>
    </w:p>
    <w:tbl>
      <w:tblPr>
        <w:tblStyle w:val="12"/>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4"/>
        <w:gridCol w:w="70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7" w:hRule="atLeast"/>
        </w:trPr>
        <w:tc>
          <w:tcPr>
            <w:tcW w:w="1474" w:type="dxa"/>
          </w:tcPr>
          <w:p>
            <w:pPr>
              <w:spacing w:line="360" w:lineRule="auto"/>
              <w:rPr>
                <w:rFonts w:asciiTheme="minorHAnsi" w:hAnsiTheme="minorHAnsi" w:eastAsiaTheme="majorEastAsia" w:cstheme="minorHAnsi"/>
                <w:szCs w:val="21"/>
              </w:rPr>
            </w:pPr>
            <w:bookmarkStart w:id="2" w:name="_Hlk129190493"/>
            <w:r>
              <w:rPr>
                <w:rFonts w:hint="eastAsia" w:asciiTheme="minorHAnsi" w:hAnsiTheme="minorHAnsi" w:eastAsiaTheme="majorEastAsia" w:cstheme="minorHAnsi"/>
                <w:szCs w:val="21"/>
              </w:rPr>
              <w:t>项目总费用</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约</w:t>
            </w:r>
            <w:r>
              <w:rPr>
                <w:rFonts w:hint="eastAsia" w:asciiTheme="minorHAnsi" w:hAnsiTheme="minorHAnsi" w:eastAsiaTheme="majorEastAsia" w:cstheme="minorHAnsi"/>
                <w:szCs w:val="21"/>
                <w:lang w:val="en-US" w:eastAsia="zh-CN"/>
              </w:rPr>
              <w:t>合</w:t>
            </w:r>
            <w:r>
              <w:rPr>
                <w:rFonts w:hint="eastAsia" w:asciiTheme="minorHAnsi" w:hAnsiTheme="minorHAnsi" w:eastAsiaTheme="majorEastAsia" w:cstheme="minorHAnsi"/>
                <w:szCs w:val="21"/>
              </w:rPr>
              <w:t>人民</w:t>
            </w:r>
            <w:r>
              <w:rPr>
                <w:rFonts w:hint="eastAsia" w:asciiTheme="minorHAnsi" w:hAnsiTheme="minorHAnsi" w:eastAsiaTheme="majorEastAsia" w:cstheme="minorHAnsi"/>
                <w:color w:val="auto"/>
                <w:szCs w:val="21"/>
              </w:rPr>
              <w:t>币</w:t>
            </w:r>
            <w:r>
              <w:rPr>
                <w:rFonts w:hint="eastAsia" w:asciiTheme="minorHAnsi" w:hAnsiTheme="minorHAnsi" w:eastAsiaTheme="majorEastAsia" w:cstheme="minorHAnsi"/>
                <w:color w:val="auto"/>
                <w:szCs w:val="21"/>
                <w:lang w:val="en-US" w:eastAsia="zh-CN"/>
              </w:rPr>
              <w:t>13400</w:t>
            </w:r>
            <w:bookmarkStart w:id="3" w:name="_GoBack"/>
            <w:bookmarkEnd w:id="3"/>
            <w:r>
              <w:rPr>
                <w:rFonts w:hint="eastAsia" w:asciiTheme="minorHAnsi" w:hAnsiTheme="minorHAnsi" w:eastAsiaTheme="majorEastAsia" w:cstheme="minorHAnsi"/>
                <w:color w:val="auto"/>
                <w:szCs w:val="21"/>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费用包括：</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学费、杂费、医疗与意外险、接机</w:t>
            </w:r>
            <w:r>
              <w:rPr>
                <w:rFonts w:hint="eastAsia" w:asciiTheme="minorHAnsi" w:hAnsiTheme="minorHAnsi" w:eastAsiaTheme="majorEastAsia" w:cstheme="minorHAnsi"/>
                <w:szCs w:val="21"/>
                <w:lang w:val="en-US" w:eastAsia="zh-CN"/>
              </w:rPr>
              <w:t>及</w:t>
            </w:r>
            <w:r>
              <w:rPr>
                <w:rFonts w:hint="eastAsia" w:asciiTheme="minorHAnsi" w:hAnsiTheme="minorHAnsi" w:eastAsiaTheme="majorEastAsia" w:cstheme="minorHAnsi"/>
                <w:szCs w:val="21"/>
              </w:rPr>
              <w:t>项目设计与管理费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74"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费用不包括：</w:t>
            </w:r>
          </w:p>
        </w:tc>
        <w:tc>
          <w:tcPr>
            <w:tcW w:w="7048" w:type="dxa"/>
          </w:tcPr>
          <w:p>
            <w:pPr>
              <w:spacing w:line="360" w:lineRule="auto"/>
              <w:rPr>
                <w:rFonts w:asciiTheme="minorHAnsi" w:hAnsiTheme="minorHAnsi" w:eastAsiaTheme="majorEastAsia" w:cstheme="minorHAnsi"/>
                <w:szCs w:val="21"/>
              </w:rPr>
            </w:pPr>
            <w:r>
              <w:rPr>
                <w:rFonts w:hint="eastAsia" w:asciiTheme="minorHAnsi" w:hAnsiTheme="minorHAnsi" w:eastAsiaTheme="majorEastAsia" w:cstheme="minorHAnsi"/>
                <w:szCs w:val="21"/>
              </w:rPr>
              <w:t>国际机票、</w:t>
            </w:r>
            <w:r>
              <w:rPr>
                <w:rFonts w:hint="eastAsia" w:asciiTheme="minorHAnsi" w:hAnsiTheme="minorHAnsi" w:eastAsiaTheme="majorEastAsia" w:cstheme="minorHAnsi"/>
                <w:szCs w:val="21"/>
                <w:lang w:val="en-US" w:eastAsia="zh-CN"/>
              </w:rPr>
              <w:t>住宿</w:t>
            </w:r>
            <w:r>
              <w:rPr>
                <w:rFonts w:hint="eastAsia" w:asciiTheme="minorHAnsi" w:hAnsiTheme="minorHAnsi" w:eastAsiaTheme="majorEastAsia" w:cstheme="minorHAnsi"/>
                <w:szCs w:val="21"/>
              </w:rPr>
              <w:t>、签证费</w:t>
            </w:r>
            <w:r>
              <w:rPr>
                <w:rFonts w:hint="eastAsia" w:asciiTheme="minorHAnsi" w:hAnsiTheme="minorHAnsi" w:eastAsiaTheme="majorEastAsia" w:cstheme="minorHAnsi"/>
                <w:szCs w:val="21"/>
                <w:lang w:val="en-US" w:eastAsia="zh-CN"/>
              </w:rPr>
              <w:t>、</w:t>
            </w:r>
            <w:r>
              <w:rPr>
                <w:rFonts w:hint="eastAsia" w:asciiTheme="minorHAnsi" w:hAnsiTheme="minorHAnsi" w:eastAsiaTheme="majorEastAsia" w:cstheme="minorHAnsi"/>
                <w:szCs w:val="21"/>
              </w:rPr>
              <w:t>个人生活费</w:t>
            </w:r>
          </w:p>
        </w:tc>
      </w:tr>
      <w:bookmarkEnd w:id="2"/>
    </w:tbl>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widowControl/>
        <w:spacing w:line="360" w:lineRule="auto"/>
        <w:jc w:val="left"/>
        <w:rPr>
          <w:rFonts w:asciiTheme="minorHAnsi" w:hAnsiTheme="minorHAnsi" w:eastAsiaTheme="majorEastAsia" w:cstheme="minorHAnsi"/>
          <w:szCs w:val="21"/>
        </w:rPr>
      </w:pPr>
    </w:p>
    <w:p>
      <w:pPr>
        <w:spacing w:line="360" w:lineRule="auto"/>
        <w:rPr>
          <w:rFonts w:hint="eastAsia" w:asciiTheme="minorHAnsi" w:hAnsiTheme="minorHAnsi" w:eastAsiaTheme="majorEastAsia" w:cstheme="minorHAnsi"/>
          <w:b/>
          <w:kern w:val="0"/>
          <w:szCs w:val="21"/>
          <w:lang w:val="en-US" w:eastAsia="zh-CN"/>
        </w:rPr>
      </w:pPr>
      <w:r>
        <w:rPr>
          <w:rFonts w:hint="eastAsia" w:asciiTheme="minorHAnsi" w:hAnsiTheme="minorHAnsi" w:eastAsiaTheme="majorEastAsia" w:cstheme="minorHAnsi"/>
          <w:b/>
          <w:bCs/>
          <w:kern w:val="0"/>
          <w:szCs w:val="21"/>
        </w:rPr>
        <w:t>五</w:t>
      </w:r>
      <w:r>
        <w:rPr>
          <w:rFonts w:asciiTheme="minorHAnsi" w:hAnsiTheme="minorHAnsi" w:eastAsiaTheme="majorEastAsia" w:cstheme="minorHAnsi"/>
          <w:b/>
          <w:bCs/>
          <w:kern w:val="0"/>
          <w:szCs w:val="21"/>
        </w:rPr>
        <w:t>、</w:t>
      </w:r>
      <w:r>
        <w:rPr>
          <w:rFonts w:hint="eastAsia" w:asciiTheme="minorHAnsi" w:hAnsiTheme="minorHAnsi" w:eastAsiaTheme="majorEastAsia" w:cstheme="minorHAnsi"/>
          <w:b/>
          <w:bCs/>
          <w:kern w:val="0"/>
          <w:szCs w:val="21"/>
        </w:rPr>
        <w:t>项目申请</w:t>
      </w:r>
    </w:p>
    <w:p>
      <w:pPr>
        <w:pStyle w:val="21"/>
        <w:widowControl/>
        <w:numPr>
          <w:ilvl w:val="0"/>
          <w:numId w:val="4"/>
        </w:numPr>
        <w:spacing w:line="360" w:lineRule="auto"/>
        <w:ind w:firstLineChars="0"/>
        <w:jc w:val="left"/>
        <w:rPr>
          <w:rFonts w:cs="Calibri" w:asciiTheme="minorHAnsi" w:hAnsiTheme="minorHAnsi"/>
          <w:szCs w:val="21"/>
        </w:rPr>
      </w:pPr>
      <w:r>
        <w:rPr>
          <w:rFonts w:asciiTheme="minorHAnsi" w:hAnsiTheme="minorHAnsi" w:eastAsiaTheme="majorEastAsia" w:cstheme="minorHAnsi"/>
          <w:b/>
          <w:kern w:val="0"/>
          <w:szCs w:val="21"/>
        </w:rPr>
        <w:t>选拔要求</w:t>
      </w:r>
      <w:r>
        <w:rPr>
          <w:rFonts w:hint="eastAsia" w:asciiTheme="minorHAnsi" w:hAnsiTheme="minorHAnsi" w:eastAsiaTheme="majorEastAsia" w:cstheme="minorHAnsi"/>
          <w:b/>
          <w:kern w:val="0"/>
          <w:szCs w:val="21"/>
        </w:rPr>
        <w:t>：</w:t>
      </w:r>
      <w:r>
        <w:rPr>
          <w:rFonts w:hint="eastAsia" w:asciiTheme="minorHAnsi" w:hAnsiTheme="minorHAnsi" w:eastAsiaTheme="majorEastAsia" w:cstheme="minorHAnsi"/>
          <w:kern w:val="0"/>
          <w:szCs w:val="21"/>
        </w:rPr>
        <w:t>无需托福雅思成绩，四级</w:t>
      </w:r>
      <w:r>
        <w:rPr>
          <w:rFonts w:hint="eastAsia" w:asciiTheme="minorHAnsi" w:hAnsiTheme="minorHAnsi" w:eastAsiaTheme="majorEastAsia" w:cstheme="minorHAnsi"/>
          <w:kern w:val="0"/>
          <w:szCs w:val="21"/>
          <w:lang w:val="en-US" w:eastAsia="zh-CN"/>
        </w:rPr>
        <w:t>470</w:t>
      </w:r>
      <w:r>
        <w:rPr>
          <w:rFonts w:hint="eastAsia" w:asciiTheme="minorHAnsi" w:hAnsiTheme="minorHAnsi" w:eastAsiaTheme="majorEastAsia" w:cstheme="minorHAnsi"/>
          <w:kern w:val="0"/>
          <w:szCs w:val="21"/>
        </w:rPr>
        <w:t>/六级4</w:t>
      </w:r>
      <w:r>
        <w:rPr>
          <w:rFonts w:hint="eastAsia" w:asciiTheme="minorHAnsi" w:hAnsiTheme="minorHAnsi" w:eastAsiaTheme="majorEastAsia" w:cstheme="minorHAnsi"/>
          <w:kern w:val="0"/>
          <w:szCs w:val="21"/>
          <w:lang w:val="en-US" w:eastAsia="zh-CN"/>
        </w:rPr>
        <w:t>5</w:t>
      </w:r>
      <w:r>
        <w:rPr>
          <w:rFonts w:hint="eastAsia" w:asciiTheme="minorHAnsi" w:hAnsiTheme="minorHAnsi" w:eastAsiaTheme="majorEastAsia" w:cstheme="minorHAnsi"/>
          <w:kern w:val="0"/>
          <w:szCs w:val="21"/>
        </w:rPr>
        <w:t>0</w:t>
      </w:r>
      <w:r>
        <w:rPr>
          <w:rFonts w:hint="eastAsia" w:asciiTheme="minorHAnsi" w:hAnsiTheme="minorHAnsi" w:eastAsiaTheme="majorEastAsia" w:cstheme="minorHAnsi"/>
          <w:kern w:val="0"/>
          <w:szCs w:val="21"/>
          <w:lang w:val="en-US" w:eastAsia="zh-CN"/>
        </w:rPr>
        <w:t>/</w:t>
      </w:r>
      <w:r>
        <w:rPr>
          <w:rFonts w:hint="default" w:asciiTheme="minorHAnsi" w:hAnsiTheme="minorHAnsi" w:eastAsiaTheme="majorEastAsia" w:cstheme="minorHAnsi"/>
          <w:kern w:val="0"/>
          <w:szCs w:val="21"/>
          <w:lang w:eastAsia="zh-CN"/>
        </w:rPr>
        <w:t>专四65/</w:t>
      </w:r>
      <w:r>
        <w:rPr>
          <w:rFonts w:hint="eastAsia" w:asciiTheme="minorHAnsi" w:hAnsiTheme="minorHAnsi" w:eastAsiaTheme="majorEastAsia" w:cstheme="minorHAnsi"/>
          <w:kern w:val="0"/>
          <w:szCs w:val="21"/>
          <w:lang w:val="en-US" w:eastAsia="zh-CN"/>
        </w:rPr>
        <w:t>多邻国90/高考110</w:t>
      </w:r>
      <w:r>
        <w:rPr>
          <w:rFonts w:hint="eastAsia" w:asciiTheme="minorHAnsi" w:hAnsiTheme="minorHAnsi" w:eastAsiaTheme="majorEastAsia" w:cstheme="minorHAnsi"/>
          <w:kern w:val="0"/>
          <w:szCs w:val="21"/>
        </w:rPr>
        <w:t>即可申请</w:t>
      </w:r>
    </w:p>
    <w:p>
      <w:pPr>
        <w:pStyle w:val="21"/>
        <w:numPr>
          <w:ilvl w:val="0"/>
          <w:numId w:val="4"/>
        </w:numPr>
        <w:spacing w:line="360" w:lineRule="auto"/>
        <w:ind w:firstLineChars="0"/>
        <w:rPr>
          <w:rFonts w:cs="宋体" w:asciiTheme="minorHAnsi" w:hAnsiTheme="minorHAnsi"/>
          <w:b/>
          <w:kern w:val="0"/>
          <w:sz w:val="20"/>
          <w:szCs w:val="21"/>
        </w:rPr>
      </w:pPr>
      <w:r>
        <w:rPr>
          <w:rFonts w:hint="eastAsia" w:asciiTheme="minorHAnsi" w:hAnsiTheme="minorHAnsi" w:eastAsiaTheme="majorEastAsia" w:cstheme="minorHAnsi"/>
          <w:b/>
          <w:kern w:val="0"/>
          <w:szCs w:val="21"/>
        </w:rPr>
        <w:t>报名</w:t>
      </w:r>
      <w:r>
        <w:rPr>
          <w:rFonts w:asciiTheme="minorHAnsi" w:hAnsiTheme="minorHAnsi" w:eastAsiaTheme="majorEastAsia" w:cstheme="minorHAnsi"/>
          <w:b/>
          <w:kern w:val="0"/>
          <w:szCs w:val="21"/>
        </w:rPr>
        <w:t>方式</w:t>
      </w:r>
      <w:r>
        <w:rPr>
          <w:rFonts w:hint="eastAsia" w:asciiTheme="minorHAnsi" w:hAnsiTheme="minorHAnsi" w:eastAsiaTheme="majorEastAsia" w:cstheme="minorHAnsi"/>
          <w:b/>
          <w:kern w:val="0"/>
          <w:szCs w:val="21"/>
        </w:rPr>
        <w:t xml:space="preserve">： </w:t>
      </w:r>
      <w:r>
        <w:rPr>
          <w:rFonts w:hint="eastAsia" w:asciiTheme="minorHAnsi" w:hAnsiTheme="minorHAnsi" w:eastAsiaTheme="majorEastAsia" w:cstheme="minorHAnsi"/>
          <w:bCs/>
          <w:kern w:val="0"/>
          <w:szCs w:val="21"/>
        </w:rPr>
        <w:t>登录</w:t>
      </w:r>
      <w:r>
        <w:rPr>
          <w:rFonts w:asciiTheme="minorHAnsi" w:hAnsiTheme="minorHAnsi" w:eastAsiaTheme="majorEastAsia" w:cstheme="minorHAnsi"/>
          <w:szCs w:val="21"/>
        </w:rPr>
        <w:t>全美国际教育协会网站</w:t>
      </w:r>
      <w:r>
        <w:fldChar w:fldCharType="begin"/>
      </w:r>
      <w:r>
        <w:instrText xml:space="preserve"> HYPERLINK "http://www.usiea.org" </w:instrText>
      </w:r>
      <w:r>
        <w:fldChar w:fldCharType="separate"/>
      </w:r>
      <w:r>
        <w:rPr>
          <w:rStyle w:val="16"/>
          <w:rFonts w:hint="eastAsia" w:asciiTheme="minorHAnsi" w:hAnsiTheme="minorHAnsi" w:eastAsiaTheme="majorEastAsia" w:cstheme="minorHAnsi"/>
          <w:szCs w:val="21"/>
        </w:rPr>
        <w:t>www.usiea.org</w:t>
      </w:r>
      <w:r>
        <w:rPr>
          <w:rStyle w:val="16"/>
          <w:rFonts w:hint="eastAsia" w:asciiTheme="minorHAnsi" w:hAnsiTheme="minorHAnsi" w:eastAsiaTheme="majorEastAsia" w:cstheme="minorHAnsi"/>
          <w:szCs w:val="21"/>
        </w:rPr>
        <w:fldChar w:fldCharType="end"/>
      </w:r>
      <w:r>
        <w:rPr>
          <w:rFonts w:hint="eastAsia" w:asciiTheme="minorHAnsi" w:hAnsiTheme="minorHAnsi" w:eastAsiaTheme="majorEastAsia" w:cstheme="minorHAnsi"/>
          <w:szCs w:val="21"/>
        </w:rPr>
        <w:t xml:space="preserve"> </w:t>
      </w:r>
      <w:r>
        <w:rPr>
          <w:rFonts w:asciiTheme="minorHAnsi" w:hAnsiTheme="minorHAnsi" w:eastAsiaTheme="majorEastAsia" w:cstheme="minorHAnsi"/>
          <w:szCs w:val="21"/>
        </w:rPr>
        <w:t>填写《</w:t>
      </w:r>
      <w:r>
        <w:rPr>
          <w:rFonts w:hint="eastAsia" w:asciiTheme="minorHAnsi" w:hAnsiTheme="minorHAnsi" w:eastAsiaTheme="majorEastAsia" w:cstheme="minorHAnsi"/>
          <w:szCs w:val="21"/>
        </w:rPr>
        <w:t>世界</w:t>
      </w:r>
      <w:r>
        <w:rPr>
          <w:rFonts w:asciiTheme="minorHAnsi" w:hAnsiTheme="minorHAnsi" w:eastAsiaTheme="majorEastAsia" w:cstheme="minorHAnsi"/>
          <w:szCs w:val="21"/>
        </w:rPr>
        <w:t>名校访学项目报名表》；</w:t>
      </w:r>
    </w:p>
    <w:p>
      <w:pPr>
        <w:pStyle w:val="21"/>
        <w:numPr>
          <w:ilvl w:val="0"/>
          <w:numId w:val="4"/>
        </w:numPr>
        <w:spacing w:line="360" w:lineRule="auto"/>
        <w:ind w:firstLineChars="0"/>
        <w:rPr>
          <w:rFonts w:cs="Calibri" w:asciiTheme="minorHAnsi" w:hAnsiTheme="minorHAnsi"/>
          <w:szCs w:val="21"/>
        </w:rPr>
      </w:pPr>
      <w:r>
        <w:rPr>
          <w:rFonts w:hint="eastAsia" w:asciiTheme="minorHAnsi" w:hAnsiTheme="minorHAnsi" w:eastAsiaTheme="majorEastAsia" w:cstheme="minorHAnsi"/>
          <w:b/>
          <w:kern w:val="0"/>
          <w:szCs w:val="21"/>
          <w:lang w:val="en-US" w:eastAsia="zh-CN"/>
        </w:rPr>
        <w:t>建议</w:t>
      </w:r>
      <w:r>
        <w:rPr>
          <w:rFonts w:hint="eastAsia" w:asciiTheme="minorHAnsi" w:hAnsiTheme="minorHAnsi" w:eastAsiaTheme="majorEastAsia" w:cstheme="minorHAnsi"/>
          <w:b/>
          <w:kern w:val="0"/>
          <w:szCs w:val="21"/>
        </w:rPr>
        <w:t>截止日期：</w:t>
      </w:r>
      <w:r>
        <w:rPr>
          <w:rFonts w:ascii="Calibri" w:hAnsi="Calibri" w:cs="Calibri"/>
          <w:szCs w:val="21"/>
        </w:rPr>
        <w:t>202</w:t>
      </w:r>
      <w:r>
        <w:rPr>
          <w:rFonts w:hint="eastAsia" w:ascii="Calibri" w:hAnsi="Calibri" w:cs="Calibri"/>
          <w:szCs w:val="21"/>
          <w:lang w:val="en-US" w:eastAsia="zh-CN"/>
        </w:rPr>
        <w:t>4年</w:t>
      </w:r>
    </w:p>
    <w:p>
      <w:pPr>
        <w:spacing w:line="360" w:lineRule="auto"/>
        <w:rPr>
          <w:rFonts w:hint="default" w:asciiTheme="minorHAnsi" w:hAnsiTheme="minorHAnsi" w:eastAsiaTheme="majorEastAsia" w:cstheme="minorHAnsi"/>
          <w:szCs w:val="21"/>
          <w:u w:val="single"/>
          <w:lang w:val="en-US"/>
        </w:rPr>
      </w:pPr>
      <w:r>
        <w:rPr>
          <w:rFonts w:hint="eastAsia" w:asciiTheme="minorHAnsi" w:hAnsiTheme="minorHAnsi" w:eastAsiaTheme="majorEastAsia" w:cstheme="minorHAnsi"/>
          <w:szCs w:val="21"/>
          <w:u w:val="single"/>
          <w:lang w:val="en-US" w:eastAsia="zh-CN"/>
        </w:rPr>
        <w:t xml:space="preserve">                                                                                      </w:t>
      </w:r>
    </w:p>
    <w:p>
      <w:pPr>
        <w:widowControl/>
        <w:jc w:val="left"/>
        <w:rPr>
          <w:rFonts w:cs="宋体" w:asciiTheme="minorHAnsi" w:hAnsiTheme="minorHAnsi"/>
          <w:kern w:val="0"/>
          <w:sz w:val="20"/>
          <w:szCs w:val="21"/>
          <w:u w:val="none"/>
        </w:rPr>
      </w:pP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全美国际教育协会官微：全美国际访学微刊</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全美国际教育协会官网：</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www.usiea.org </w:t>
      </w:r>
    </w:p>
    <w:p>
      <w:pPr>
        <w:spacing w:line="360" w:lineRule="auto"/>
        <w:rPr>
          <w:rFonts w:hint="eastAsia" w:asciiTheme="minorHAnsi" w:hAnsiTheme="minorHAnsi" w:eastAsiaTheme="majorEastAsia" w:cstheme="minorHAnsi"/>
          <w:szCs w:val="21"/>
        </w:rPr>
      </w:pPr>
      <w:r>
        <w:rPr>
          <w:rFonts w:hint="eastAsia" w:asciiTheme="minorHAnsi" w:hAnsiTheme="minorHAnsi" w:eastAsiaTheme="majorEastAsia" w:cstheme="minorHAnsi"/>
          <w:szCs w:val="21"/>
        </w:rPr>
        <w:t>项目邮箱咨询：</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begin"/>
      </w:r>
      <w:r>
        <w:rPr>
          <w:rFonts w:hint="eastAsia" w:asciiTheme="minorHAnsi" w:hAnsiTheme="minorHAnsi" w:eastAsiaTheme="majorEastAsia" w:cstheme="minorHAnsi"/>
          <w:color w:val="4F81BD" w:themeColor="accent1"/>
          <w:szCs w:val="21"/>
          <w14:textFill>
            <w14:solidFill>
              <w14:schemeClr w14:val="accent1"/>
            </w14:solidFill>
          </w14:textFill>
        </w:rPr>
        <w:instrText xml:space="preserve"> HYPERLINK "mailto:visit_usyd@yeah.net" </w:instrText>
      </w:r>
      <w:r>
        <w:rPr>
          <w:rFonts w:hint="eastAsia" w:asciiTheme="minorHAnsi" w:hAnsiTheme="minorHAnsi" w:eastAsiaTheme="majorEastAsia" w:cstheme="minorHAnsi"/>
          <w:color w:val="4F81BD" w:themeColor="accent1"/>
          <w:szCs w:val="21"/>
          <w14:textFill>
            <w14:solidFill>
              <w14:schemeClr w14:val="accent1"/>
            </w14:solidFill>
          </w14:textFill>
        </w:rPr>
        <w:fldChar w:fldCharType="separate"/>
      </w:r>
      <w:r>
        <w:rPr>
          <w:rFonts w:hint="eastAsia" w:asciiTheme="minorHAnsi" w:hAnsiTheme="minorHAnsi" w:eastAsiaTheme="majorEastAsia" w:cstheme="minorHAnsi"/>
          <w:color w:val="4F81BD" w:themeColor="accent1"/>
          <w:szCs w:val="21"/>
          <w14:textFill>
            <w14:solidFill>
              <w14:schemeClr w14:val="accent1"/>
            </w14:solidFill>
          </w14:textFill>
        </w:rPr>
        <w:t>visit_</w:t>
      </w:r>
      <w:r>
        <w:rPr>
          <w:rFonts w:hint="eastAsia" w:asciiTheme="minorHAnsi" w:hAnsiTheme="minorHAnsi" w:eastAsiaTheme="majorEastAsia" w:cstheme="minorHAnsi"/>
          <w:color w:val="4F81BD" w:themeColor="accent1"/>
          <w:szCs w:val="21"/>
          <w:lang w:val="en-US" w:eastAsia="zh-CN"/>
          <w14:textFill>
            <w14:solidFill>
              <w14:schemeClr w14:val="accent1"/>
            </w14:solidFill>
          </w14:textFill>
        </w:rPr>
        <w:t>ntu</w:t>
      </w:r>
      <w:r>
        <w:rPr>
          <w:rFonts w:hint="eastAsia" w:asciiTheme="minorHAnsi" w:hAnsiTheme="minorHAnsi" w:eastAsiaTheme="majorEastAsia" w:cstheme="minorHAnsi"/>
          <w:color w:val="4F81BD" w:themeColor="accent1"/>
          <w:szCs w:val="21"/>
          <w14:textFill>
            <w14:solidFill>
              <w14:schemeClr w14:val="accent1"/>
            </w14:solidFill>
          </w14:textFill>
        </w:rPr>
        <w:t>@yeah.net</w:t>
      </w:r>
      <w:r>
        <w:rPr>
          <w:rFonts w:hint="eastAsia" w:asciiTheme="minorHAnsi" w:hAnsiTheme="minorHAnsi" w:eastAsiaTheme="majorEastAsia" w:cstheme="minorHAnsi"/>
          <w:color w:val="4F81BD" w:themeColor="accent1"/>
          <w:szCs w:val="21"/>
          <w14:textFill>
            <w14:solidFill>
              <w14:schemeClr w14:val="accent1"/>
            </w14:solidFill>
          </w14:textFill>
        </w:rPr>
        <w:fldChar w:fldCharType="end"/>
      </w:r>
      <w:r>
        <w:rPr>
          <w:rFonts w:hint="eastAsia" w:asciiTheme="minorHAnsi" w:hAnsiTheme="minorHAnsi" w:eastAsiaTheme="majorEastAsia" w:cstheme="minorHAnsi"/>
          <w:color w:val="4F81BD" w:themeColor="accent1"/>
          <w:szCs w:val="21"/>
          <w14:textFill>
            <w14:solidFill>
              <w14:schemeClr w14:val="accent1"/>
            </w14:solidFill>
          </w14:textFill>
        </w:rPr>
        <w:t xml:space="preserve"> </w:t>
      </w:r>
    </w:p>
    <w:p>
      <w:pPr>
        <w:pStyle w:val="9"/>
        <w:keepNext w:val="0"/>
        <w:keepLines w:val="0"/>
        <w:widowControl/>
        <w:suppressLineNumbers w:val="0"/>
        <w:spacing w:before="0" w:beforeAutospacing="0" w:after="0" w:afterAutospacing="0" w:line="360" w:lineRule="auto"/>
        <w:ind w:left="0" w:firstLine="0"/>
        <w:jc w:val="left"/>
        <w:rPr>
          <w:rFonts w:hint="eastAsia" w:ascii="Calibri" w:hAnsi="Calibri" w:eastAsia="宋体" w:cs="Calibri"/>
          <w:sz w:val="22"/>
          <w:szCs w:val="22"/>
          <w:lang w:eastAsia="zh-CN"/>
        </w:rPr>
      </w:pPr>
    </w:p>
    <w:p>
      <w:pPr>
        <w:widowControl/>
        <w:spacing w:line="360" w:lineRule="auto"/>
        <w:jc w:val="left"/>
        <w:rPr>
          <w:rFonts w:hint="default" w:cs="宋体" w:asciiTheme="minorHAnsi" w:hAnsiTheme="minorHAnsi"/>
          <w:kern w:val="0"/>
          <w:sz w:val="20"/>
          <w:szCs w:val="21"/>
          <w:highlight w:val="green"/>
          <w:lang w:val="en-US" w:eastAsia="zh-CN"/>
        </w:rPr>
      </w:pPr>
    </w:p>
    <w:p>
      <w:pPr>
        <w:widowControl/>
        <w:spacing w:line="360" w:lineRule="auto"/>
        <w:jc w:val="left"/>
        <w:rPr>
          <w:rFonts w:hint="default" w:cs="宋体" w:asciiTheme="minorHAnsi" w:hAnsiTheme="minorHAnsi"/>
          <w:kern w:val="0"/>
          <w:sz w:val="20"/>
          <w:szCs w:val="21"/>
          <w:highlight w:val="green"/>
          <w:lang w:val="en-US" w:eastAsia="zh-CN"/>
        </w:rPr>
      </w:pPr>
    </w:p>
    <w:sectPr>
      <w:headerReference r:id="rId3" w:type="default"/>
      <w:pgSz w:w="11906" w:h="16838"/>
      <w:pgMar w:top="2025" w:right="1800" w:bottom="1440" w:left="1800" w:header="737"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4D"/>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0" w:lineRule="atLeast"/>
      <w:ind w:right="-336" w:rightChars="-160"/>
      <w:rPr>
        <w:rFonts w:ascii="微软雅黑" w:hAnsi="微软雅黑" w:eastAsia="微软雅黑"/>
        <w:sz w:val="30"/>
        <w:szCs w:val="30"/>
        <w:lang w:val="en-CA"/>
      </w:rPr>
    </w:pPr>
    <w:r>
      <w:rPr>
        <w:rFonts w:hint="eastAsia" w:asciiTheme="minorHAnsi" w:hAnsiTheme="minorHAnsi" w:eastAsiaTheme="majorEastAsia" w:cstheme="minorHAnsi"/>
        <w:b/>
        <w:kern w:val="0"/>
        <w:sz w:val="32"/>
        <w:szCs w:val="21"/>
      </w:rPr>
      <w:drawing>
        <wp:anchor distT="0" distB="0" distL="0" distR="0" simplePos="0" relativeHeight="251660288" behindDoc="0" locked="0" layoutInCell="1" allowOverlap="1">
          <wp:simplePos x="0" y="0"/>
          <wp:positionH relativeFrom="column">
            <wp:posOffset>4344670</wp:posOffset>
          </wp:positionH>
          <wp:positionV relativeFrom="paragraph">
            <wp:posOffset>93980</wp:posOffset>
          </wp:positionV>
          <wp:extent cx="857250" cy="299720"/>
          <wp:effectExtent l="0" t="0" r="6350" b="5080"/>
          <wp:wrapNone/>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59541B"/>
    <w:multiLevelType w:val="singleLevel"/>
    <w:tmpl w:val="0E59541B"/>
    <w:lvl w:ilvl="0" w:tentative="0">
      <w:start w:val="1"/>
      <w:numFmt w:val="bullet"/>
      <w:lvlText w:val=""/>
      <w:lvlJc w:val="left"/>
      <w:pPr>
        <w:ind w:left="420" w:hanging="420"/>
      </w:pPr>
      <w:rPr>
        <w:rFonts w:hint="default" w:ascii="Wingdings" w:hAnsi="Wingdings"/>
      </w:rPr>
    </w:lvl>
  </w:abstractNum>
  <w:abstractNum w:abstractNumId="1">
    <w:nsid w:val="46834264"/>
    <w:multiLevelType w:val="multilevel"/>
    <w:tmpl w:val="46834264"/>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cs="Wingdings"/>
      </w:rPr>
    </w:lvl>
    <w:lvl w:ilvl="2" w:tentative="0">
      <w:start w:val="1"/>
      <w:numFmt w:val="bullet"/>
      <w:lvlText w:val=""/>
      <w:lvlJc w:val="left"/>
      <w:pPr>
        <w:ind w:left="1680" w:hanging="420"/>
      </w:pPr>
      <w:rPr>
        <w:rFonts w:hint="default" w:ascii="Wingdings" w:hAnsi="Wingdings" w:cs="Wingdings"/>
      </w:rPr>
    </w:lvl>
    <w:lvl w:ilvl="3" w:tentative="0">
      <w:start w:val="1"/>
      <w:numFmt w:val="bullet"/>
      <w:lvlText w:val=""/>
      <w:lvlJc w:val="left"/>
      <w:pPr>
        <w:ind w:left="2100" w:hanging="420"/>
      </w:pPr>
      <w:rPr>
        <w:rFonts w:hint="default" w:ascii="Wingdings" w:hAnsi="Wingdings" w:cs="Wingdings"/>
      </w:rPr>
    </w:lvl>
    <w:lvl w:ilvl="4" w:tentative="0">
      <w:start w:val="1"/>
      <w:numFmt w:val="bullet"/>
      <w:lvlText w:val=""/>
      <w:lvlJc w:val="left"/>
      <w:pPr>
        <w:ind w:left="2520" w:hanging="420"/>
      </w:pPr>
      <w:rPr>
        <w:rFonts w:hint="default" w:ascii="Wingdings" w:hAnsi="Wingdings" w:cs="Wingdings"/>
      </w:rPr>
    </w:lvl>
    <w:lvl w:ilvl="5" w:tentative="0">
      <w:start w:val="1"/>
      <w:numFmt w:val="bullet"/>
      <w:lvlText w:val=""/>
      <w:lvlJc w:val="left"/>
      <w:pPr>
        <w:ind w:left="2940" w:hanging="420"/>
      </w:pPr>
      <w:rPr>
        <w:rFonts w:hint="default" w:ascii="Wingdings" w:hAnsi="Wingdings" w:cs="Wingdings"/>
      </w:rPr>
    </w:lvl>
    <w:lvl w:ilvl="6" w:tentative="0">
      <w:start w:val="1"/>
      <w:numFmt w:val="bullet"/>
      <w:lvlText w:val=""/>
      <w:lvlJc w:val="left"/>
      <w:pPr>
        <w:ind w:left="3360" w:hanging="420"/>
      </w:pPr>
      <w:rPr>
        <w:rFonts w:hint="default" w:ascii="Wingdings" w:hAnsi="Wingdings" w:cs="Wingdings"/>
      </w:rPr>
    </w:lvl>
    <w:lvl w:ilvl="7" w:tentative="0">
      <w:start w:val="1"/>
      <w:numFmt w:val="bullet"/>
      <w:lvlText w:val=""/>
      <w:lvlJc w:val="left"/>
      <w:pPr>
        <w:ind w:left="3780" w:hanging="420"/>
      </w:pPr>
      <w:rPr>
        <w:rFonts w:hint="default" w:ascii="Wingdings" w:hAnsi="Wingdings" w:cs="Wingdings"/>
      </w:rPr>
    </w:lvl>
    <w:lvl w:ilvl="8" w:tentative="0">
      <w:start w:val="1"/>
      <w:numFmt w:val="bullet"/>
      <w:lvlText w:val=""/>
      <w:lvlJc w:val="left"/>
      <w:pPr>
        <w:ind w:left="4200" w:hanging="420"/>
      </w:pPr>
      <w:rPr>
        <w:rFonts w:hint="default" w:ascii="Wingdings" w:hAnsi="Wingdings" w:cs="Wingdings"/>
      </w:rPr>
    </w:lvl>
  </w:abstractNum>
  <w:abstractNum w:abstractNumId="2">
    <w:nsid w:val="7165FCB2"/>
    <w:multiLevelType w:val="singleLevel"/>
    <w:tmpl w:val="7165FCB2"/>
    <w:lvl w:ilvl="0" w:tentative="0">
      <w:start w:val="1"/>
      <w:numFmt w:val="bullet"/>
      <w:lvlText w:val=""/>
      <w:lvlJc w:val="left"/>
      <w:pPr>
        <w:ind w:left="420" w:hanging="420"/>
      </w:pPr>
      <w:rPr>
        <w:rFonts w:hint="default" w:ascii="Wingdings" w:hAnsi="Wingdings"/>
      </w:rPr>
    </w:lvl>
  </w:abstractNum>
  <w:abstractNum w:abstractNumId="3">
    <w:nsid w:val="77F013D8"/>
    <w:multiLevelType w:val="multilevel"/>
    <w:tmpl w:val="77F013D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M3YmEyYWI5ZDlhODE0MmRmOWU3M2JjYTllZWE4YWUifQ=="/>
  </w:docVars>
  <w:rsids>
    <w:rsidRoot w:val="00500A8F"/>
    <w:rsid w:val="00002650"/>
    <w:rsid w:val="00002E62"/>
    <w:rsid w:val="000035D7"/>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4777"/>
    <w:rsid w:val="000860BB"/>
    <w:rsid w:val="00087DB0"/>
    <w:rsid w:val="0009206E"/>
    <w:rsid w:val="00092225"/>
    <w:rsid w:val="000922FE"/>
    <w:rsid w:val="000954F4"/>
    <w:rsid w:val="00095996"/>
    <w:rsid w:val="00097F35"/>
    <w:rsid w:val="000A0A86"/>
    <w:rsid w:val="000A11D2"/>
    <w:rsid w:val="000A2A22"/>
    <w:rsid w:val="000A4030"/>
    <w:rsid w:val="000A5251"/>
    <w:rsid w:val="000A5300"/>
    <w:rsid w:val="000B1A29"/>
    <w:rsid w:val="000B60EF"/>
    <w:rsid w:val="000C2F7C"/>
    <w:rsid w:val="000C3F5B"/>
    <w:rsid w:val="000C4E56"/>
    <w:rsid w:val="000C5C18"/>
    <w:rsid w:val="000C63F0"/>
    <w:rsid w:val="000C7850"/>
    <w:rsid w:val="000C7F9A"/>
    <w:rsid w:val="000D0F3D"/>
    <w:rsid w:val="000D3060"/>
    <w:rsid w:val="000D4A7A"/>
    <w:rsid w:val="000D4BC5"/>
    <w:rsid w:val="000E1209"/>
    <w:rsid w:val="000E5DBE"/>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3CC6"/>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9718A"/>
    <w:rsid w:val="001A0C7A"/>
    <w:rsid w:val="001A116C"/>
    <w:rsid w:val="001A25EC"/>
    <w:rsid w:val="001A281F"/>
    <w:rsid w:val="001A32AC"/>
    <w:rsid w:val="001A7D56"/>
    <w:rsid w:val="001B1730"/>
    <w:rsid w:val="001B5CE0"/>
    <w:rsid w:val="001C1A51"/>
    <w:rsid w:val="001C6985"/>
    <w:rsid w:val="001D2C48"/>
    <w:rsid w:val="001D4042"/>
    <w:rsid w:val="001D458C"/>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0A0E"/>
    <w:rsid w:val="002133F2"/>
    <w:rsid w:val="00213D09"/>
    <w:rsid w:val="0021575D"/>
    <w:rsid w:val="0021711E"/>
    <w:rsid w:val="002202A8"/>
    <w:rsid w:val="00220E2D"/>
    <w:rsid w:val="002211FB"/>
    <w:rsid w:val="0022214B"/>
    <w:rsid w:val="00223F58"/>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5FE3"/>
    <w:rsid w:val="002B61DD"/>
    <w:rsid w:val="002B7076"/>
    <w:rsid w:val="002B7842"/>
    <w:rsid w:val="002C2028"/>
    <w:rsid w:val="002C229B"/>
    <w:rsid w:val="002C27D4"/>
    <w:rsid w:val="002C3134"/>
    <w:rsid w:val="002C500D"/>
    <w:rsid w:val="002C6AEB"/>
    <w:rsid w:val="002C722D"/>
    <w:rsid w:val="002C78C7"/>
    <w:rsid w:val="002D04D0"/>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1F44"/>
    <w:rsid w:val="002F3568"/>
    <w:rsid w:val="002F3CF5"/>
    <w:rsid w:val="002F715D"/>
    <w:rsid w:val="002F7AB9"/>
    <w:rsid w:val="0030157A"/>
    <w:rsid w:val="003016B3"/>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66FEE"/>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18E7"/>
    <w:rsid w:val="003A35AE"/>
    <w:rsid w:val="003A5D84"/>
    <w:rsid w:val="003A6BB9"/>
    <w:rsid w:val="003B07D0"/>
    <w:rsid w:val="003B4151"/>
    <w:rsid w:val="003B669C"/>
    <w:rsid w:val="003B786E"/>
    <w:rsid w:val="003B7CFB"/>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27C68"/>
    <w:rsid w:val="004364F5"/>
    <w:rsid w:val="00437A33"/>
    <w:rsid w:val="004414AC"/>
    <w:rsid w:val="00443A8C"/>
    <w:rsid w:val="0044476E"/>
    <w:rsid w:val="00445E16"/>
    <w:rsid w:val="004469A3"/>
    <w:rsid w:val="00447D52"/>
    <w:rsid w:val="00450C4E"/>
    <w:rsid w:val="00450F8F"/>
    <w:rsid w:val="0045270B"/>
    <w:rsid w:val="00454C45"/>
    <w:rsid w:val="00456EAE"/>
    <w:rsid w:val="004624BE"/>
    <w:rsid w:val="00463A43"/>
    <w:rsid w:val="00465A92"/>
    <w:rsid w:val="004663D3"/>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A6DE9"/>
    <w:rsid w:val="004B00BD"/>
    <w:rsid w:val="004B49EE"/>
    <w:rsid w:val="004B4D89"/>
    <w:rsid w:val="004B516E"/>
    <w:rsid w:val="004B5235"/>
    <w:rsid w:val="004C0E26"/>
    <w:rsid w:val="004C2EED"/>
    <w:rsid w:val="004C343D"/>
    <w:rsid w:val="004C5277"/>
    <w:rsid w:val="004C6632"/>
    <w:rsid w:val="004C6B0E"/>
    <w:rsid w:val="004D2349"/>
    <w:rsid w:val="004D2423"/>
    <w:rsid w:val="004D3884"/>
    <w:rsid w:val="004D5BBA"/>
    <w:rsid w:val="004E0748"/>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91D"/>
    <w:rsid w:val="005A0E6B"/>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0922"/>
    <w:rsid w:val="005D26E7"/>
    <w:rsid w:val="005D3CC6"/>
    <w:rsid w:val="005D5AD2"/>
    <w:rsid w:val="005D6F09"/>
    <w:rsid w:val="005E035C"/>
    <w:rsid w:val="005E1836"/>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37E"/>
    <w:rsid w:val="00645792"/>
    <w:rsid w:val="00646BC1"/>
    <w:rsid w:val="006476B2"/>
    <w:rsid w:val="00647A59"/>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6851"/>
    <w:rsid w:val="006A72B8"/>
    <w:rsid w:val="006B576E"/>
    <w:rsid w:val="006B59F4"/>
    <w:rsid w:val="006B6001"/>
    <w:rsid w:val="006C1F05"/>
    <w:rsid w:val="006C2070"/>
    <w:rsid w:val="006C4426"/>
    <w:rsid w:val="006C4C6F"/>
    <w:rsid w:val="006C70AC"/>
    <w:rsid w:val="006C7539"/>
    <w:rsid w:val="006D0A5D"/>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4F89"/>
    <w:rsid w:val="007307A9"/>
    <w:rsid w:val="0073152E"/>
    <w:rsid w:val="007320EC"/>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86093"/>
    <w:rsid w:val="0079282E"/>
    <w:rsid w:val="00793276"/>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7F9B"/>
    <w:rsid w:val="007F085E"/>
    <w:rsid w:val="007F181D"/>
    <w:rsid w:val="007F291E"/>
    <w:rsid w:val="007F310C"/>
    <w:rsid w:val="007F35EA"/>
    <w:rsid w:val="007F3ED4"/>
    <w:rsid w:val="007F50F2"/>
    <w:rsid w:val="007F5700"/>
    <w:rsid w:val="007F6EAE"/>
    <w:rsid w:val="007F79E2"/>
    <w:rsid w:val="00800241"/>
    <w:rsid w:val="00802548"/>
    <w:rsid w:val="00802890"/>
    <w:rsid w:val="00802957"/>
    <w:rsid w:val="00802B47"/>
    <w:rsid w:val="008062A9"/>
    <w:rsid w:val="00811B0B"/>
    <w:rsid w:val="00813869"/>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402"/>
    <w:rsid w:val="00855260"/>
    <w:rsid w:val="00855B44"/>
    <w:rsid w:val="008567DF"/>
    <w:rsid w:val="008573F8"/>
    <w:rsid w:val="00860271"/>
    <w:rsid w:val="00861C0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476B"/>
    <w:rsid w:val="008D5822"/>
    <w:rsid w:val="008D5E6C"/>
    <w:rsid w:val="008D7F16"/>
    <w:rsid w:val="008E08E2"/>
    <w:rsid w:val="008E160B"/>
    <w:rsid w:val="008E2639"/>
    <w:rsid w:val="008E3155"/>
    <w:rsid w:val="008E4534"/>
    <w:rsid w:val="008E54DB"/>
    <w:rsid w:val="008F1045"/>
    <w:rsid w:val="008F31D7"/>
    <w:rsid w:val="008F350F"/>
    <w:rsid w:val="008F45DF"/>
    <w:rsid w:val="009003F3"/>
    <w:rsid w:val="00900680"/>
    <w:rsid w:val="00900E50"/>
    <w:rsid w:val="009018E4"/>
    <w:rsid w:val="00901CB5"/>
    <w:rsid w:val="00903BED"/>
    <w:rsid w:val="00905613"/>
    <w:rsid w:val="00905BF1"/>
    <w:rsid w:val="009111B0"/>
    <w:rsid w:val="00913572"/>
    <w:rsid w:val="00915EF9"/>
    <w:rsid w:val="009171E7"/>
    <w:rsid w:val="00917A3B"/>
    <w:rsid w:val="0092087F"/>
    <w:rsid w:val="00920DCF"/>
    <w:rsid w:val="00922E57"/>
    <w:rsid w:val="0092377F"/>
    <w:rsid w:val="009308D8"/>
    <w:rsid w:val="00930DF7"/>
    <w:rsid w:val="00932291"/>
    <w:rsid w:val="00936821"/>
    <w:rsid w:val="00936E5D"/>
    <w:rsid w:val="00941B36"/>
    <w:rsid w:val="0094276A"/>
    <w:rsid w:val="00942C75"/>
    <w:rsid w:val="00944FA7"/>
    <w:rsid w:val="00951195"/>
    <w:rsid w:val="00952045"/>
    <w:rsid w:val="00952BA5"/>
    <w:rsid w:val="009554FB"/>
    <w:rsid w:val="00957AAA"/>
    <w:rsid w:val="00957EEC"/>
    <w:rsid w:val="0096218E"/>
    <w:rsid w:val="00963696"/>
    <w:rsid w:val="009642E6"/>
    <w:rsid w:val="009645E2"/>
    <w:rsid w:val="009659E8"/>
    <w:rsid w:val="00965CCC"/>
    <w:rsid w:val="00972BCD"/>
    <w:rsid w:val="0097304E"/>
    <w:rsid w:val="0097647D"/>
    <w:rsid w:val="00976B70"/>
    <w:rsid w:val="00980FC5"/>
    <w:rsid w:val="00983752"/>
    <w:rsid w:val="00983EF6"/>
    <w:rsid w:val="009853D3"/>
    <w:rsid w:val="00987939"/>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37E9"/>
    <w:rsid w:val="009C44ED"/>
    <w:rsid w:val="009C4F0D"/>
    <w:rsid w:val="009C5700"/>
    <w:rsid w:val="009C5D67"/>
    <w:rsid w:val="009C5FEE"/>
    <w:rsid w:val="009C6763"/>
    <w:rsid w:val="009C692C"/>
    <w:rsid w:val="009C698C"/>
    <w:rsid w:val="009C7A2D"/>
    <w:rsid w:val="009C7CE4"/>
    <w:rsid w:val="009D0585"/>
    <w:rsid w:val="009D4E96"/>
    <w:rsid w:val="009D5036"/>
    <w:rsid w:val="009D72F9"/>
    <w:rsid w:val="009D751B"/>
    <w:rsid w:val="009E18AF"/>
    <w:rsid w:val="009E389E"/>
    <w:rsid w:val="009E3EC8"/>
    <w:rsid w:val="009E4A3B"/>
    <w:rsid w:val="009E5B43"/>
    <w:rsid w:val="009E5D88"/>
    <w:rsid w:val="009E60F3"/>
    <w:rsid w:val="009E759C"/>
    <w:rsid w:val="009F0653"/>
    <w:rsid w:val="009F09C7"/>
    <w:rsid w:val="009F0EF0"/>
    <w:rsid w:val="009F4229"/>
    <w:rsid w:val="009F60C6"/>
    <w:rsid w:val="009F784B"/>
    <w:rsid w:val="009F7FCB"/>
    <w:rsid w:val="00A00B17"/>
    <w:rsid w:val="00A01568"/>
    <w:rsid w:val="00A01F50"/>
    <w:rsid w:val="00A026A3"/>
    <w:rsid w:val="00A04324"/>
    <w:rsid w:val="00A1042E"/>
    <w:rsid w:val="00A123C0"/>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55EE5"/>
    <w:rsid w:val="00A57A9D"/>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850C2"/>
    <w:rsid w:val="00A90C11"/>
    <w:rsid w:val="00A91068"/>
    <w:rsid w:val="00A96197"/>
    <w:rsid w:val="00A97B5A"/>
    <w:rsid w:val="00AA2334"/>
    <w:rsid w:val="00AA4DC4"/>
    <w:rsid w:val="00AA6878"/>
    <w:rsid w:val="00AA6A42"/>
    <w:rsid w:val="00AA77BB"/>
    <w:rsid w:val="00AB012E"/>
    <w:rsid w:val="00AB05C6"/>
    <w:rsid w:val="00AB3244"/>
    <w:rsid w:val="00AB61D0"/>
    <w:rsid w:val="00AB66D7"/>
    <w:rsid w:val="00AB694F"/>
    <w:rsid w:val="00AC093C"/>
    <w:rsid w:val="00AC3070"/>
    <w:rsid w:val="00AC32C6"/>
    <w:rsid w:val="00AC5552"/>
    <w:rsid w:val="00AC62D4"/>
    <w:rsid w:val="00AC6A68"/>
    <w:rsid w:val="00AD0F8F"/>
    <w:rsid w:val="00AD191B"/>
    <w:rsid w:val="00AD7BA1"/>
    <w:rsid w:val="00AE1F90"/>
    <w:rsid w:val="00AE3B6A"/>
    <w:rsid w:val="00AE3D62"/>
    <w:rsid w:val="00AF1933"/>
    <w:rsid w:val="00AF4C9F"/>
    <w:rsid w:val="00AF5247"/>
    <w:rsid w:val="00AF6851"/>
    <w:rsid w:val="00AF78C6"/>
    <w:rsid w:val="00AF7CB4"/>
    <w:rsid w:val="00B00961"/>
    <w:rsid w:val="00B017A1"/>
    <w:rsid w:val="00B01ADE"/>
    <w:rsid w:val="00B02383"/>
    <w:rsid w:val="00B06BA6"/>
    <w:rsid w:val="00B10A17"/>
    <w:rsid w:val="00B12237"/>
    <w:rsid w:val="00B12F3C"/>
    <w:rsid w:val="00B133E0"/>
    <w:rsid w:val="00B15266"/>
    <w:rsid w:val="00B15FF3"/>
    <w:rsid w:val="00B22EB0"/>
    <w:rsid w:val="00B22F00"/>
    <w:rsid w:val="00B231C9"/>
    <w:rsid w:val="00B24FF7"/>
    <w:rsid w:val="00B25051"/>
    <w:rsid w:val="00B2543C"/>
    <w:rsid w:val="00B26192"/>
    <w:rsid w:val="00B262CD"/>
    <w:rsid w:val="00B27809"/>
    <w:rsid w:val="00B316D1"/>
    <w:rsid w:val="00B31A0A"/>
    <w:rsid w:val="00B3303F"/>
    <w:rsid w:val="00B333D6"/>
    <w:rsid w:val="00B33B11"/>
    <w:rsid w:val="00B33C5E"/>
    <w:rsid w:val="00B35002"/>
    <w:rsid w:val="00B40A66"/>
    <w:rsid w:val="00B41090"/>
    <w:rsid w:val="00B41ACD"/>
    <w:rsid w:val="00B42C5F"/>
    <w:rsid w:val="00B42F30"/>
    <w:rsid w:val="00B43D42"/>
    <w:rsid w:val="00B50955"/>
    <w:rsid w:val="00B50CF4"/>
    <w:rsid w:val="00B57332"/>
    <w:rsid w:val="00B57B39"/>
    <w:rsid w:val="00B60E9C"/>
    <w:rsid w:val="00B61B4F"/>
    <w:rsid w:val="00B61F83"/>
    <w:rsid w:val="00B6632A"/>
    <w:rsid w:val="00B675AF"/>
    <w:rsid w:val="00B67C18"/>
    <w:rsid w:val="00B70DD1"/>
    <w:rsid w:val="00B70FCD"/>
    <w:rsid w:val="00B7156F"/>
    <w:rsid w:val="00B74F51"/>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13D"/>
    <w:rsid w:val="00BC3B43"/>
    <w:rsid w:val="00BC52DF"/>
    <w:rsid w:val="00BC5535"/>
    <w:rsid w:val="00BD0BB7"/>
    <w:rsid w:val="00BD1289"/>
    <w:rsid w:val="00BD6A1A"/>
    <w:rsid w:val="00BD70D2"/>
    <w:rsid w:val="00BE02A7"/>
    <w:rsid w:val="00BE05D1"/>
    <w:rsid w:val="00BE2788"/>
    <w:rsid w:val="00BE4122"/>
    <w:rsid w:val="00BE6A7C"/>
    <w:rsid w:val="00BE6F4C"/>
    <w:rsid w:val="00BE7E70"/>
    <w:rsid w:val="00BF1D55"/>
    <w:rsid w:val="00BF255F"/>
    <w:rsid w:val="00BF460C"/>
    <w:rsid w:val="00BF5F9C"/>
    <w:rsid w:val="00BF64D4"/>
    <w:rsid w:val="00BF7188"/>
    <w:rsid w:val="00C01A60"/>
    <w:rsid w:val="00C02F99"/>
    <w:rsid w:val="00C03770"/>
    <w:rsid w:val="00C0591A"/>
    <w:rsid w:val="00C05D8E"/>
    <w:rsid w:val="00C06B20"/>
    <w:rsid w:val="00C06CBE"/>
    <w:rsid w:val="00C12254"/>
    <w:rsid w:val="00C123C3"/>
    <w:rsid w:val="00C126DF"/>
    <w:rsid w:val="00C12FFD"/>
    <w:rsid w:val="00C15DBB"/>
    <w:rsid w:val="00C205D1"/>
    <w:rsid w:val="00C22473"/>
    <w:rsid w:val="00C226AD"/>
    <w:rsid w:val="00C25076"/>
    <w:rsid w:val="00C277CB"/>
    <w:rsid w:val="00C3476B"/>
    <w:rsid w:val="00C347CD"/>
    <w:rsid w:val="00C369C9"/>
    <w:rsid w:val="00C444EA"/>
    <w:rsid w:val="00C46291"/>
    <w:rsid w:val="00C50DF8"/>
    <w:rsid w:val="00C5114A"/>
    <w:rsid w:val="00C51558"/>
    <w:rsid w:val="00C552B9"/>
    <w:rsid w:val="00C55BB5"/>
    <w:rsid w:val="00C56947"/>
    <w:rsid w:val="00C61F30"/>
    <w:rsid w:val="00C622ED"/>
    <w:rsid w:val="00C633FC"/>
    <w:rsid w:val="00C64953"/>
    <w:rsid w:val="00C66AE8"/>
    <w:rsid w:val="00C73A98"/>
    <w:rsid w:val="00C745E3"/>
    <w:rsid w:val="00C75C2E"/>
    <w:rsid w:val="00C766EF"/>
    <w:rsid w:val="00C773FC"/>
    <w:rsid w:val="00C807AA"/>
    <w:rsid w:val="00C80EE6"/>
    <w:rsid w:val="00C816F6"/>
    <w:rsid w:val="00C817A7"/>
    <w:rsid w:val="00C861B2"/>
    <w:rsid w:val="00C8693D"/>
    <w:rsid w:val="00C86975"/>
    <w:rsid w:val="00C87AF3"/>
    <w:rsid w:val="00C9196E"/>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20F4"/>
    <w:rsid w:val="00CD332E"/>
    <w:rsid w:val="00CD41C2"/>
    <w:rsid w:val="00CD47AF"/>
    <w:rsid w:val="00CD521B"/>
    <w:rsid w:val="00CE06FC"/>
    <w:rsid w:val="00CE0E96"/>
    <w:rsid w:val="00CE4335"/>
    <w:rsid w:val="00CE665F"/>
    <w:rsid w:val="00CF1574"/>
    <w:rsid w:val="00CF197E"/>
    <w:rsid w:val="00CF2158"/>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241AC"/>
    <w:rsid w:val="00D31AFE"/>
    <w:rsid w:val="00D332D6"/>
    <w:rsid w:val="00D33660"/>
    <w:rsid w:val="00D346FC"/>
    <w:rsid w:val="00D35444"/>
    <w:rsid w:val="00D3691D"/>
    <w:rsid w:val="00D371C4"/>
    <w:rsid w:val="00D41244"/>
    <w:rsid w:val="00D41ADE"/>
    <w:rsid w:val="00D459D0"/>
    <w:rsid w:val="00D471D1"/>
    <w:rsid w:val="00D50B46"/>
    <w:rsid w:val="00D50E81"/>
    <w:rsid w:val="00D54329"/>
    <w:rsid w:val="00D560EF"/>
    <w:rsid w:val="00D56918"/>
    <w:rsid w:val="00D56A55"/>
    <w:rsid w:val="00D60EC2"/>
    <w:rsid w:val="00D634D8"/>
    <w:rsid w:val="00D63C2D"/>
    <w:rsid w:val="00D64983"/>
    <w:rsid w:val="00D651FF"/>
    <w:rsid w:val="00D65275"/>
    <w:rsid w:val="00D65A32"/>
    <w:rsid w:val="00D71DEB"/>
    <w:rsid w:val="00D72A27"/>
    <w:rsid w:val="00D73882"/>
    <w:rsid w:val="00D73A55"/>
    <w:rsid w:val="00D80609"/>
    <w:rsid w:val="00D819B9"/>
    <w:rsid w:val="00D82BB6"/>
    <w:rsid w:val="00D83C6B"/>
    <w:rsid w:val="00D83EBA"/>
    <w:rsid w:val="00D8505B"/>
    <w:rsid w:val="00D9196B"/>
    <w:rsid w:val="00D93FF6"/>
    <w:rsid w:val="00D94BB7"/>
    <w:rsid w:val="00D96CBF"/>
    <w:rsid w:val="00DA100A"/>
    <w:rsid w:val="00DA1053"/>
    <w:rsid w:val="00DA25AD"/>
    <w:rsid w:val="00DA27D8"/>
    <w:rsid w:val="00DA4E6F"/>
    <w:rsid w:val="00DA6890"/>
    <w:rsid w:val="00DA73E5"/>
    <w:rsid w:val="00DA74AE"/>
    <w:rsid w:val="00DB0013"/>
    <w:rsid w:val="00DB0090"/>
    <w:rsid w:val="00DB030D"/>
    <w:rsid w:val="00DB1679"/>
    <w:rsid w:val="00DB57CF"/>
    <w:rsid w:val="00DB60D3"/>
    <w:rsid w:val="00DC0EF6"/>
    <w:rsid w:val="00DC2F1C"/>
    <w:rsid w:val="00DC2F84"/>
    <w:rsid w:val="00DC4BA2"/>
    <w:rsid w:val="00DC79B4"/>
    <w:rsid w:val="00DD19A2"/>
    <w:rsid w:val="00DD4C8D"/>
    <w:rsid w:val="00DD6134"/>
    <w:rsid w:val="00DD70C2"/>
    <w:rsid w:val="00DD7187"/>
    <w:rsid w:val="00DD7FB4"/>
    <w:rsid w:val="00DE14AA"/>
    <w:rsid w:val="00DE1C6F"/>
    <w:rsid w:val="00DE477C"/>
    <w:rsid w:val="00DE6206"/>
    <w:rsid w:val="00DE7CB6"/>
    <w:rsid w:val="00DF1C7E"/>
    <w:rsid w:val="00DF269B"/>
    <w:rsid w:val="00DF4AB0"/>
    <w:rsid w:val="00DF66EE"/>
    <w:rsid w:val="00DF6776"/>
    <w:rsid w:val="00E00245"/>
    <w:rsid w:val="00E00371"/>
    <w:rsid w:val="00E02C20"/>
    <w:rsid w:val="00E03B49"/>
    <w:rsid w:val="00E03CD2"/>
    <w:rsid w:val="00E04E2C"/>
    <w:rsid w:val="00E05FBF"/>
    <w:rsid w:val="00E0694A"/>
    <w:rsid w:val="00E07A31"/>
    <w:rsid w:val="00E11850"/>
    <w:rsid w:val="00E17346"/>
    <w:rsid w:val="00E178B5"/>
    <w:rsid w:val="00E21BE2"/>
    <w:rsid w:val="00E22994"/>
    <w:rsid w:val="00E23047"/>
    <w:rsid w:val="00E23270"/>
    <w:rsid w:val="00E244C3"/>
    <w:rsid w:val="00E309FD"/>
    <w:rsid w:val="00E3185A"/>
    <w:rsid w:val="00E31EA8"/>
    <w:rsid w:val="00E403D4"/>
    <w:rsid w:val="00E403F2"/>
    <w:rsid w:val="00E40561"/>
    <w:rsid w:val="00E414F9"/>
    <w:rsid w:val="00E4181F"/>
    <w:rsid w:val="00E469BB"/>
    <w:rsid w:val="00E474C8"/>
    <w:rsid w:val="00E50150"/>
    <w:rsid w:val="00E5049F"/>
    <w:rsid w:val="00E504D8"/>
    <w:rsid w:val="00E52CBB"/>
    <w:rsid w:val="00E53FC7"/>
    <w:rsid w:val="00E5672F"/>
    <w:rsid w:val="00E61308"/>
    <w:rsid w:val="00E61E70"/>
    <w:rsid w:val="00E632DC"/>
    <w:rsid w:val="00E64653"/>
    <w:rsid w:val="00E64D3E"/>
    <w:rsid w:val="00E66B08"/>
    <w:rsid w:val="00E671E9"/>
    <w:rsid w:val="00E67E38"/>
    <w:rsid w:val="00E74FEC"/>
    <w:rsid w:val="00E7533C"/>
    <w:rsid w:val="00E76995"/>
    <w:rsid w:val="00E80E43"/>
    <w:rsid w:val="00E82660"/>
    <w:rsid w:val="00E8311C"/>
    <w:rsid w:val="00E84F51"/>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3B2E"/>
    <w:rsid w:val="00EC43C8"/>
    <w:rsid w:val="00EC50AC"/>
    <w:rsid w:val="00EC515F"/>
    <w:rsid w:val="00EC5B1E"/>
    <w:rsid w:val="00ED1806"/>
    <w:rsid w:val="00ED205C"/>
    <w:rsid w:val="00ED36BD"/>
    <w:rsid w:val="00ED3F02"/>
    <w:rsid w:val="00ED457C"/>
    <w:rsid w:val="00ED73AE"/>
    <w:rsid w:val="00EE0709"/>
    <w:rsid w:val="00EE0B92"/>
    <w:rsid w:val="00EE0E07"/>
    <w:rsid w:val="00EE0F0E"/>
    <w:rsid w:val="00EE12C8"/>
    <w:rsid w:val="00EE2093"/>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4E53"/>
    <w:rsid w:val="00F959D8"/>
    <w:rsid w:val="00F979AC"/>
    <w:rsid w:val="00FA038F"/>
    <w:rsid w:val="00FA6353"/>
    <w:rsid w:val="00FB32DE"/>
    <w:rsid w:val="00FB3ADA"/>
    <w:rsid w:val="00FB3F63"/>
    <w:rsid w:val="00FB6425"/>
    <w:rsid w:val="00FB6D62"/>
    <w:rsid w:val="00FB7A50"/>
    <w:rsid w:val="00FC0DF5"/>
    <w:rsid w:val="00FC2436"/>
    <w:rsid w:val="00FC44B5"/>
    <w:rsid w:val="00FC6127"/>
    <w:rsid w:val="00FC79F6"/>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52678D2"/>
    <w:rsid w:val="06DF3581"/>
    <w:rsid w:val="0A2640E4"/>
    <w:rsid w:val="0CD410C8"/>
    <w:rsid w:val="0EA675EC"/>
    <w:rsid w:val="10D27A7E"/>
    <w:rsid w:val="1633660B"/>
    <w:rsid w:val="182C352A"/>
    <w:rsid w:val="1B091A97"/>
    <w:rsid w:val="1D4E2CAF"/>
    <w:rsid w:val="213A432F"/>
    <w:rsid w:val="223A11B5"/>
    <w:rsid w:val="22FA2700"/>
    <w:rsid w:val="24032E22"/>
    <w:rsid w:val="245F0FC8"/>
    <w:rsid w:val="259671F9"/>
    <w:rsid w:val="26846175"/>
    <w:rsid w:val="27201032"/>
    <w:rsid w:val="28BB4620"/>
    <w:rsid w:val="298E1762"/>
    <w:rsid w:val="2ACB2E92"/>
    <w:rsid w:val="2D22651C"/>
    <w:rsid w:val="2E9F27F8"/>
    <w:rsid w:val="2EA855EA"/>
    <w:rsid w:val="335C2374"/>
    <w:rsid w:val="345011CA"/>
    <w:rsid w:val="36363A93"/>
    <w:rsid w:val="364A2160"/>
    <w:rsid w:val="37F779CB"/>
    <w:rsid w:val="38E1010B"/>
    <w:rsid w:val="3B0A0C9D"/>
    <w:rsid w:val="3C91192E"/>
    <w:rsid w:val="4148218A"/>
    <w:rsid w:val="42836989"/>
    <w:rsid w:val="449479F1"/>
    <w:rsid w:val="455C39C2"/>
    <w:rsid w:val="47356E70"/>
    <w:rsid w:val="47524326"/>
    <w:rsid w:val="4794153F"/>
    <w:rsid w:val="49B7019D"/>
    <w:rsid w:val="49D255C4"/>
    <w:rsid w:val="4D412B24"/>
    <w:rsid w:val="4D8352B9"/>
    <w:rsid w:val="50051124"/>
    <w:rsid w:val="51B24B0E"/>
    <w:rsid w:val="52AE775C"/>
    <w:rsid w:val="52E91829"/>
    <w:rsid w:val="531D5B22"/>
    <w:rsid w:val="538F119C"/>
    <w:rsid w:val="53AC58A5"/>
    <w:rsid w:val="558879FE"/>
    <w:rsid w:val="55C74D2F"/>
    <w:rsid w:val="572E32B3"/>
    <w:rsid w:val="59F37DAF"/>
    <w:rsid w:val="5C0A1E9A"/>
    <w:rsid w:val="5C593EAF"/>
    <w:rsid w:val="5C862A02"/>
    <w:rsid w:val="5D63417B"/>
    <w:rsid w:val="60C76A50"/>
    <w:rsid w:val="60FE76C2"/>
    <w:rsid w:val="634E1302"/>
    <w:rsid w:val="64DC4668"/>
    <w:rsid w:val="6A841BD5"/>
    <w:rsid w:val="6CFC2298"/>
    <w:rsid w:val="6FDE3B11"/>
    <w:rsid w:val="6FF84353"/>
    <w:rsid w:val="6FFB92A4"/>
    <w:rsid w:val="706D03F4"/>
    <w:rsid w:val="73120C63"/>
    <w:rsid w:val="736244DE"/>
    <w:rsid w:val="75790F84"/>
    <w:rsid w:val="75E73437"/>
    <w:rsid w:val="77B530EB"/>
    <w:rsid w:val="7A6B664D"/>
    <w:rsid w:val="7A944128"/>
    <w:rsid w:val="7AAD5D10"/>
    <w:rsid w:val="7CA51739"/>
    <w:rsid w:val="7FF963E6"/>
    <w:rsid w:val="A5F77DBC"/>
    <w:rsid w:val="BE1FF691"/>
    <w:rsid w:val="BEFF34C7"/>
    <w:rsid w:val="FCFF3881"/>
    <w:rsid w:val="FEFF345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nhideWhenUsed="0" w:uiPriority="0" w:semiHidden="0" w:name="List"/>
    <w:lsdException w:uiPriority="0" w:name="List Bullet"/>
    <w:lsdException w:uiPriority="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uiPriority="0" w:name="Plain Text"/>
    <w:lsdException w:uiPriority="0" w:name="E-mail Signature"/>
    <w:lsdException w:qFormat="1" w:uiPriority="99"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Indent"/>
    <w:basedOn w:val="1"/>
    <w:qFormat/>
    <w:uiPriority w:val="0"/>
    <w:pPr>
      <w:widowControl/>
      <w:spacing w:before="100" w:beforeAutospacing="1" w:after="100" w:afterAutospacing="1"/>
      <w:jc w:val="left"/>
    </w:pPr>
    <w:rPr>
      <w:rFonts w:ascii="宋体" w:hAnsi="宋体" w:cs="宋体"/>
      <w:kern w:val="0"/>
      <w:sz w:val="24"/>
    </w:rPr>
  </w:style>
  <w:style w:type="paragraph" w:styleId="5">
    <w:name w:val="Body Text Indent 2"/>
    <w:basedOn w:val="1"/>
    <w:qFormat/>
    <w:uiPriority w:val="0"/>
    <w:pPr>
      <w:widowControl/>
      <w:spacing w:before="100" w:beforeAutospacing="1" w:after="100" w:afterAutospacing="1"/>
      <w:jc w:val="left"/>
    </w:pPr>
    <w:rPr>
      <w:rFonts w:ascii="宋体" w:hAnsi="宋体" w:cs="宋体"/>
      <w:kern w:val="0"/>
      <w:sz w:val="24"/>
    </w:rPr>
  </w:style>
  <w:style w:type="paragraph" w:styleId="6">
    <w:name w:val="Balloon Text"/>
    <w:basedOn w:val="1"/>
    <w:semiHidden/>
    <w:qFormat/>
    <w:uiPriority w:val="0"/>
    <w:rPr>
      <w:sz w:val="18"/>
      <w:szCs w:val="18"/>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3"/>
    <w:next w:val="3"/>
    <w:link w:val="23"/>
    <w:qFormat/>
    <w:uiPriority w:val="0"/>
    <w:rPr>
      <w:b/>
      <w:bCs/>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qFormat/>
    <w:uiPriority w:val="0"/>
    <w:rPr>
      <w:b/>
      <w:bCs/>
    </w:rPr>
  </w:style>
  <w:style w:type="character" w:styleId="15">
    <w:name w:val="Emphasis"/>
    <w:basedOn w:val="13"/>
    <w:qFormat/>
    <w:uiPriority w:val="20"/>
    <w:rPr>
      <w:i/>
      <w:iCs/>
    </w:rPr>
  </w:style>
  <w:style w:type="character" w:styleId="16">
    <w:name w:val="Hyperlink"/>
    <w:qFormat/>
    <w:uiPriority w:val="0"/>
    <w:rPr>
      <w:color w:val="0068B7"/>
      <w:u w:val="none"/>
    </w:rPr>
  </w:style>
  <w:style w:type="character" w:styleId="17">
    <w:name w:val="annotation reference"/>
    <w:basedOn w:val="13"/>
    <w:qFormat/>
    <w:uiPriority w:val="0"/>
    <w:rPr>
      <w:sz w:val="21"/>
      <w:szCs w:val="21"/>
    </w:rPr>
  </w:style>
  <w:style w:type="character" w:customStyle="1" w:styleId="18">
    <w:name w:val="141"/>
    <w:qFormat/>
    <w:uiPriority w:val="0"/>
    <w:rPr>
      <w:sz w:val="21"/>
      <w:szCs w:val="21"/>
    </w:rPr>
  </w:style>
  <w:style w:type="character" w:customStyle="1" w:styleId="19">
    <w:name w:val="ztag pre"/>
    <w:basedOn w:val="13"/>
    <w:qFormat/>
    <w:uiPriority w:val="0"/>
  </w:style>
  <w:style w:type="character" w:customStyle="1" w:styleId="20">
    <w:name w:val="已访问的超链接1"/>
    <w:qFormat/>
    <w:uiPriority w:val="0"/>
    <w:rPr>
      <w:color w:val="800080"/>
      <w:u w:val="single"/>
    </w:rPr>
  </w:style>
  <w:style w:type="paragraph" w:styleId="21">
    <w:name w:val="List Paragraph"/>
    <w:basedOn w:val="1"/>
    <w:qFormat/>
    <w:uiPriority w:val="34"/>
    <w:pPr>
      <w:ind w:firstLine="420" w:firstLineChars="200"/>
    </w:pPr>
  </w:style>
  <w:style w:type="character" w:customStyle="1" w:styleId="22">
    <w:name w:val="批注文字 字符"/>
    <w:basedOn w:val="13"/>
    <w:link w:val="3"/>
    <w:qFormat/>
    <w:uiPriority w:val="0"/>
    <w:rPr>
      <w:kern w:val="2"/>
      <w:sz w:val="21"/>
      <w:szCs w:val="24"/>
    </w:rPr>
  </w:style>
  <w:style w:type="character" w:customStyle="1" w:styleId="23">
    <w:name w:val="批注主题 字符"/>
    <w:basedOn w:val="22"/>
    <w:link w:val="10"/>
    <w:qFormat/>
    <w:uiPriority w:val="0"/>
    <w:rPr>
      <w:b/>
      <w:bCs/>
      <w:kern w:val="2"/>
      <w:sz w:val="21"/>
      <w:szCs w:val="24"/>
    </w:rPr>
  </w:style>
  <w:style w:type="character" w:customStyle="1" w:styleId="24">
    <w:name w:val="Unresolved Mention"/>
    <w:basedOn w:val="13"/>
    <w:qFormat/>
    <w:uiPriority w:val="0"/>
    <w:rPr>
      <w:color w:val="605E5C"/>
      <w:shd w:val="clear" w:color="auto" w:fill="E1DFDD"/>
    </w:rPr>
  </w:style>
  <w:style w:type="paragraph" w:customStyle="1" w:styleId="2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26">
    <w:name w:val="无间隔1"/>
    <w:qFormat/>
    <w:uiPriority w:val="1"/>
    <w:rPr>
      <w:rFonts w:ascii="Calibri" w:hAnsi="Calibri" w:eastAsia="Calibri" w:cs="Times New Roman"/>
      <w:sz w:val="22"/>
      <w:szCs w:val="22"/>
      <w:lang w:val="en-US" w:eastAsia="en-US" w:bidi="ar-SA"/>
    </w:rPr>
  </w:style>
  <w:style w:type="paragraph" w:customStyle="1" w:styleId="27">
    <w:name w:val="Table Text"/>
    <w:basedOn w:val="1"/>
    <w:semiHidden/>
    <w:qFormat/>
    <w:uiPriority w:val="0"/>
    <w:rPr>
      <w:rFonts w:ascii="微软雅黑" w:hAnsi="微软雅黑" w:eastAsia="微软雅黑" w:cs="微软雅黑"/>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1D5DB757-C4FF-4053-BFEA-17F395D43E06}">
  <ds:schemaRefs/>
</ds:datastoreItem>
</file>

<file path=docProps/app.xml><?xml version="1.0" encoding="utf-8"?>
<Properties xmlns="http://schemas.openxmlformats.org/officeDocument/2006/extended-properties" xmlns:vt="http://schemas.openxmlformats.org/officeDocument/2006/docPropsVTypes">
  <Company>Microsoft</Company>
  <Pages>6</Pages>
  <Words>2179</Words>
  <Characters>3084</Characters>
  <Lines>21</Lines>
  <Paragraphs>6</Paragraphs>
  <TotalTime>2</TotalTime>
  <ScaleCrop>false</ScaleCrop>
  <LinksUpToDate>false</LinksUpToDate>
  <CharactersWithSpaces>3335</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2023-04-12T16:25:00Z</dcterms:created>
  <dc:creator>全美国际教育协会</dc:creator>
  <cp:lastModifiedBy>李晓茜</cp:lastModifiedBy>
  <cp:lastPrinted>2011-12-18T16:54:00Z</cp:lastPrinted>
  <dcterms:modified xsi:type="dcterms:W3CDTF">2023-12-05T07:38:16Z</dcterms:modified>
  <dc:title>加州大学河滨分校短期访学项目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FC680644CB1C47A584ACE177B18CF592_13</vt:lpwstr>
  </property>
</Properties>
</file>