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662"/>
        </w:tabs>
        <w:spacing w:line="360" w:lineRule="auto"/>
        <w:jc w:val="left"/>
        <w:rPr>
          <w:rFonts w:hint="eastAsia" w:asciiTheme="minorHAnsi" w:hAnsiTheme="minorHAnsi" w:eastAsiaTheme="majorEastAsia" w:cstheme="minorHAnsi"/>
          <w:b/>
          <w:kern w:val="0"/>
          <w:sz w:val="32"/>
          <w:szCs w:val="21"/>
          <w:lang w:eastAsia="zh-CN"/>
        </w:rPr>
      </w:pPr>
      <w:r>
        <w:rPr>
          <w:rFonts w:hint="eastAsia" w:asciiTheme="minorHAnsi" w:hAnsiTheme="minorHAnsi" w:eastAsiaTheme="majorEastAsia" w:cstheme="minorHAnsi"/>
          <w:b/>
          <w:kern w:val="0"/>
          <w:sz w:val="32"/>
          <w:szCs w:val="21"/>
          <w:lang w:eastAsia="zh-CN"/>
        </w:rPr>
        <w:tab/>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hint="eastAsia"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新加坡南洋理工大学</w:t>
      </w:r>
    </w:p>
    <w:p>
      <w:pPr>
        <w:widowControl/>
        <w:spacing w:line="360" w:lineRule="auto"/>
        <w:jc w:val="center"/>
        <w:rPr>
          <w:rFonts w:hint="eastAsia"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社会科学下的学术论文写作</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pPr>
        <w:widowControl/>
        <w:spacing w:line="360" w:lineRule="auto"/>
        <w:jc w:val="center"/>
        <w:rPr>
          <w:rFonts w:hint="default" w:asciiTheme="minorHAnsi" w:hAnsiTheme="minorHAnsi" w:eastAsiaTheme="majorEastAsia" w:cstheme="minorHAnsi"/>
          <w:kern w:val="0"/>
          <w:sz w:val="28"/>
          <w:szCs w:val="28"/>
          <w:lang w:val="en-US" w:eastAsia="zh-CN"/>
        </w:rPr>
      </w:pPr>
      <w:r>
        <w:rPr>
          <w:rFonts w:hint="eastAsia" w:asciiTheme="minorHAnsi" w:hAnsiTheme="minorHAnsi" w:eastAsiaTheme="majorEastAsia" w:cstheme="minorHAnsi"/>
          <w:kern w:val="0"/>
          <w:sz w:val="28"/>
          <w:szCs w:val="28"/>
        </w:rPr>
        <w:t xml:space="preserve">Modules for </w:t>
      </w:r>
      <w:r>
        <w:rPr>
          <w:rFonts w:hint="eastAsia" w:asciiTheme="minorHAnsi" w:hAnsiTheme="minorHAnsi" w:eastAsiaTheme="majorEastAsia" w:cstheme="minorHAnsi"/>
          <w:kern w:val="0"/>
          <w:sz w:val="28"/>
          <w:szCs w:val="28"/>
          <w:lang w:val="en-US" w:eastAsia="zh-CN"/>
        </w:rPr>
        <w:t>Social Science Students</w:t>
      </w:r>
    </w:p>
    <w:p>
      <w:pPr>
        <w:widowControl/>
        <w:spacing w:line="360" w:lineRule="auto"/>
        <w:jc w:val="center"/>
        <w:rPr>
          <w:rFonts w:cs="Calibri" w:asciiTheme="minorHAnsi" w:hAnsiTheme="minorHAnsi"/>
          <w:b/>
          <w:kern w:val="0"/>
          <w:szCs w:val="21"/>
        </w:rPr>
      </w:pPr>
    </w:p>
    <w:p>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英语学术写作对每个人来说都是第二语言，即使是以英语为母语的人。该项目旨在提升学生在从事社会科学下的学术论文写作所需具备的专业英语和沟通技能， 课程将帮助学生了解学术写作的目的，以及如何实现这些目的的方法。通过本次访学，学生将获得以下的研究技能：</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numPr>
          <w:ilvl w:val="0"/>
          <w:numId w:val="1"/>
        </w:numPr>
        <w:spacing w:line="360" w:lineRule="auto"/>
        <w:ind w:left="420" w:leftChars="0" w:hanging="420" w:firstLineChars="0"/>
        <w:jc w:val="left"/>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了解社会科学下学术写作的性质、要求和惯例</w:t>
      </w:r>
    </w:p>
    <w:p>
      <w:pPr>
        <w:widowControl/>
        <w:numPr>
          <w:ilvl w:val="0"/>
          <w:numId w:val="1"/>
        </w:numPr>
        <w:spacing w:line="360" w:lineRule="auto"/>
        <w:ind w:left="420" w:leftChars="0" w:hanging="420" w:firstLineChars="0"/>
        <w:jc w:val="left"/>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了解语法、句法和词汇的修辞功能，以更学术化的写作风格和语气写作语法、句法和词汇等修辞功能</w:t>
      </w:r>
    </w:p>
    <w:p>
      <w:pPr>
        <w:widowControl/>
        <w:numPr>
          <w:ilvl w:val="0"/>
          <w:numId w:val="1"/>
        </w:numPr>
        <w:spacing w:line="360" w:lineRule="auto"/>
        <w:ind w:left="420" w:leftChars="0" w:hanging="420" w:firstLineChars="0"/>
        <w:jc w:val="left"/>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通过使用适当的写作策略和技巧，有说服力地提出论点</w:t>
      </w:r>
    </w:p>
    <w:p>
      <w:pPr>
        <w:widowControl/>
        <w:numPr>
          <w:ilvl w:val="0"/>
          <w:numId w:val="1"/>
        </w:numPr>
        <w:spacing w:line="360" w:lineRule="auto"/>
        <w:ind w:left="420" w:leftChars="0" w:hanging="420" w:firstLineChars="0"/>
        <w:jc w:val="left"/>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通过观察和分析，独立学习如何以不同的学术体裁写作分析</w:t>
      </w:r>
    </w:p>
    <w:p>
      <w:pPr>
        <w:widowControl/>
        <w:numPr>
          <w:ilvl w:val="0"/>
          <w:numId w:val="0"/>
        </w:numPr>
        <w:spacing w:line="360" w:lineRule="auto"/>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因此，为了让中国学生体验世界一流名校的学术氛围，南洋理工大学主办部门举办本次8天的访学项目，由南洋理工大学在职教授授课，项目将开设「学术写作目的及显著特点」、「英语学术写作的基本要素」、「惯例在学术写作中的作用」等相关主题，涵盖新加坡南洋理工大学特色专业课、小组讨论、结业项目展示等内容，最大程度的让学员在短时间体验南洋理工大学的学术特色，培养学生有效参与社会科学下的学术论文写作项目所需要具备的研究沟通技能和信心。</w:t>
      </w:r>
    </w:p>
    <w:p>
      <w:pPr>
        <w:pStyle w:val="27"/>
        <w:widowControl w:val="0"/>
        <w:numPr>
          <w:ilvl w:val="0"/>
          <w:numId w:val="0"/>
        </w:numPr>
        <w:spacing w:before="168" w:line="176" w:lineRule="auto"/>
        <w:ind w:leftChars="0"/>
        <w:jc w:val="both"/>
        <w:rPr>
          <w:rFonts w:hint="eastAsia" w:asciiTheme="minorHAnsi" w:hAnsiTheme="minorHAnsi" w:eastAsiaTheme="majorEastAsia" w:cstheme="minorHAnsi"/>
          <w:kern w:val="0"/>
          <w:szCs w:val="21"/>
          <w:lang w:val="en-US" w:eastAsia="zh-CN"/>
        </w:rPr>
      </w:pPr>
    </w:p>
    <w:p>
      <w:pPr>
        <w:widowControl/>
        <w:numPr>
          <w:ilvl w:val="0"/>
          <w:numId w:val="2"/>
        </w:numPr>
        <w:spacing w:line="360" w:lineRule="auto"/>
        <w:jc w:val="left"/>
        <w:rPr>
          <w:rFonts w:hint="eastAsia"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项目优势特色</w:t>
      </w:r>
    </w:p>
    <w:p>
      <w:pPr>
        <w:widowControl/>
        <w:numPr>
          <w:ilvl w:val="0"/>
          <w:numId w:val="0"/>
        </w:numPr>
        <w:spacing w:line="360" w:lineRule="auto"/>
        <w:jc w:val="left"/>
        <w:rPr>
          <w:rFonts w:hint="eastAsia" w:asciiTheme="minorHAnsi" w:hAnsiTheme="minorHAnsi" w:eastAsiaTheme="majorEastAsia" w:cstheme="minorHAnsi"/>
          <w:b/>
          <w:bCs/>
          <w:kern w:val="0"/>
          <w:szCs w:val="21"/>
        </w:rPr>
      </w:pPr>
    </w:p>
    <w:p>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w:t>
      </w:r>
      <w:r>
        <w:rPr>
          <w:rFonts w:hint="eastAsia" w:asciiTheme="minorHAnsi" w:hAnsiTheme="minorHAnsi" w:eastAsiaTheme="majorEastAsia" w:cstheme="minorHAnsi"/>
          <w:kern w:val="0"/>
          <w:szCs w:val="21"/>
          <w:lang w:val="en-US" w:eastAsia="zh-CN"/>
        </w:rPr>
        <w:t>社会科学</w:t>
      </w:r>
      <w:r>
        <w:rPr>
          <w:rFonts w:hint="eastAsia" w:asciiTheme="minorHAnsi" w:hAnsiTheme="minorHAnsi" w:eastAsiaTheme="majorEastAsia" w:cstheme="minorHAnsi"/>
          <w:kern w:val="0"/>
          <w:szCs w:val="21"/>
        </w:rPr>
        <w:t>以及</w:t>
      </w:r>
      <w:r>
        <w:rPr>
          <w:rFonts w:hint="eastAsia" w:asciiTheme="minorHAnsi" w:hAnsiTheme="minorHAnsi" w:eastAsiaTheme="majorEastAsia" w:cstheme="minorHAnsi"/>
          <w:kern w:val="0"/>
          <w:szCs w:val="21"/>
          <w:lang w:val="en-US" w:eastAsia="zh-CN"/>
        </w:rPr>
        <w:t>学术论文</w:t>
      </w:r>
      <w:r>
        <w:rPr>
          <w:rFonts w:hint="eastAsia" w:asciiTheme="minorHAnsi" w:hAnsiTheme="minorHAnsi" w:eastAsiaTheme="majorEastAsia" w:cstheme="minorHAnsi"/>
          <w:kern w:val="0"/>
          <w:szCs w:val="21"/>
        </w:rPr>
        <w:t>两个层面，全方位提升学生对于</w:t>
      </w:r>
      <w:r>
        <w:rPr>
          <w:rFonts w:hint="eastAsia" w:asciiTheme="minorHAnsi" w:hAnsiTheme="minorHAnsi" w:eastAsiaTheme="majorEastAsia" w:cstheme="minorHAnsi"/>
          <w:kern w:val="0"/>
          <w:szCs w:val="21"/>
          <w:lang w:val="en-US" w:eastAsia="zh-CN"/>
        </w:rPr>
        <w:t>科学研究及学术英语的</w:t>
      </w:r>
      <w:r>
        <w:rPr>
          <w:rFonts w:hint="eastAsia" w:asciiTheme="minorHAnsi" w:hAnsiTheme="minorHAnsi" w:eastAsiaTheme="majorEastAsia" w:cstheme="minorHAnsi"/>
          <w:kern w:val="0"/>
          <w:szCs w:val="21"/>
        </w:rPr>
        <w:t>理解与把握；</w:t>
      </w:r>
    </w:p>
    <w:p>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lang w:val="en-US" w:eastAsia="zh-CN"/>
        </w:rPr>
        <w:t>无</w:t>
      </w:r>
      <w:r>
        <w:rPr>
          <w:rFonts w:hint="eastAsia" w:asciiTheme="minorHAnsi" w:hAnsiTheme="minorHAnsi" w:eastAsiaTheme="majorEastAsia" w:cstheme="minorHAnsi"/>
          <w:kern w:val="0"/>
          <w:szCs w:val="21"/>
        </w:rPr>
        <w:t>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r>
        <w:rPr>
          <w:rFonts w:hint="eastAsia" w:asciiTheme="minorHAnsi" w:hAnsiTheme="minorHAnsi" w:eastAsiaTheme="majorEastAsia" w:cstheme="minorHAnsi"/>
          <w:kern w:val="0"/>
          <w:szCs w:val="21"/>
          <w:lang w:val="en-US" w:eastAsia="zh-CN"/>
        </w:rPr>
        <w:t>;</w:t>
      </w:r>
    </w:p>
    <w:p>
      <w:pPr>
        <w:pStyle w:val="21"/>
        <w:widowControl/>
        <w:numPr>
          <w:ilvl w:val="0"/>
          <w:numId w:val="3"/>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w:t>
      </w:r>
      <w:r>
        <w:rPr>
          <w:rFonts w:hint="eastAsia" w:asciiTheme="minorHAnsi" w:hAnsiTheme="minorHAnsi" w:eastAsiaTheme="majorEastAsia" w:cstheme="minorHAnsi"/>
          <w:kern w:val="0"/>
          <w:szCs w:val="21"/>
          <w:lang w:val="en-US" w:eastAsia="zh-CN"/>
        </w:rPr>
        <w:t>新加坡南洋理工大学</w:t>
      </w:r>
      <w:r>
        <w:rPr>
          <w:rFonts w:hint="eastAsia" w:asciiTheme="minorHAnsi" w:hAnsiTheme="minorHAnsi" w:eastAsiaTheme="majorEastAsia" w:cstheme="minorHAnsi"/>
          <w:kern w:val="0"/>
          <w:szCs w:val="21"/>
        </w:rPr>
        <w:t>正式的</w:t>
      </w:r>
      <w:r>
        <w:rPr>
          <w:rFonts w:hint="eastAsia" w:asciiTheme="minorHAnsi" w:hAnsiTheme="minorHAnsi" w:eastAsiaTheme="majorEastAsia" w:cstheme="minorHAnsi"/>
          <w:kern w:val="0"/>
          <w:szCs w:val="21"/>
          <w:lang w:val="en-US" w:eastAsia="zh-CN"/>
        </w:rPr>
        <w:t>邀请函与</w:t>
      </w:r>
      <w:r>
        <w:rPr>
          <w:rFonts w:hint="eastAsia" w:asciiTheme="minorHAnsi" w:hAnsiTheme="minorHAnsi" w:eastAsiaTheme="majorEastAsia" w:cstheme="minorHAnsi"/>
          <w:kern w:val="0"/>
          <w:szCs w:val="21"/>
        </w:rPr>
        <w:t>参课证明，享受学校图书馆等资源，并可</w:t>
      </w:r>
      <w:r>
        <w:rPr>
          <w:rFonts w:hint="eastAsia" w:asciiTheme="minorHAnsi" w:hAnsiTheme="minorHAnsi" w:eastAsiaTheme="majorEastAsia" w:cstheme="minorHAnsi"/>
          <w:kern w:val="0"/>
          <w:szCs w:val="21"/>
          <w:lang w:val="en-US" w:eastAsia="zh-CN"/>
        </w:rPr>
        <w:t>从</w:t>
      </w:r>
      <w:r>
        <w:rPr>
          <w:rFonts w:hint="eastAsia" w:asciiTheme="minorHAnsi" w:hAnsiTheme="minorHAnsi" w:eastAsiaTheme="majorEastAsia" w:cstheme="minorHAnsi"/>
          <w:kern w:val="0"/>
          <w:szCs w:val="21"/>
        </w:rPr>
        <w:t>学习空间、教育技术等方面深度体验</w:t>
      </w:r>
      <w:r>
        <w:rPr>
          <w:rFonts w:hint="eastAsia" w:asciiTheme="minorHAnsi" w:hAnsiTheme="minorHAnsi" w:eastAsiaTheme="majorEastAsia" w:cstheme="minorHAnsi"/>
          <w:kern w:val="0"/>
          <w:szCs w:val="21"/>
          <w:lang w:val="en-US" w:eastAsia="zh-CN"/>
        </w:rPr>
        <w:t>新加坡</w:t>
      </w:r>
      <w:r>
        <w:rPr>
          <w:rFonts w:hint="eastAsia" w:asciiTheme="minorHAnsi" w:hAnsiTheme="minorHAnsi" w:eastAsiaTheme="majorEastAsia" w:cstheme="minorHAnsi"/>
          <w:kern w:val="0"/>
          <w:szCs w:val="21"/>
        </w:rPr>
        <w:t>的社会与文化</w:t>
      </w:r>
      <w:bookmarkEnd w:id="0"/>
      <w:r>
        <w:rPr>
          <w:rFonts w:hint="eastAsia" w:asciiTheme="minorHAnsi" w:hAnsiTheme="minorHAnsi" w:eastAsiaTheme="majorEastAsia" w:cstheme="minorHAnsi"/>
          <w:kern w:val="0"/>
          <w:szCs w:val="21"/>
          <w:lang w:eastAsia="zh-CN"/>
        </w:rPr>
        <w:t>。</w:t>
      </w:r>
    </w:p>
    <w:p>
      <w:pPr>
        <w:pStyle w:val="21"/>
        <w:widowControl/>
        <w:numPr>
          <w:ilvl w:val="0"/>
          <w:numId w:val="0"/>
        </w:numPr>
        <w:spacing w:line="360" w:lineRule="auto"/>
        <w:ind w:left="420" w:leftChars="0"/>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hint="eastAsia" w:asciiTheme="minorHAnsi" w:hAnsiTheme="minorHAnsi" w:eastAsiaTheme="majorEastAsia" w:cstheme="minorHAnsi"/>
          <w:b/>
          <w:bCs/>
          <w:kern w:val="0"/>
          <w:szCs w:val="21"/>
          <w:lang w:val="en-US" w:eastAsia="zh-CN"/>
        </w:rPr>
        <w:t>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1"/>
        <w:widowControl/>
        <w:numPr>
          <w:ilvl w:val="0"/>
          <w:numId w:val="3"/>
        </w:numPr>
        <w:spacing w:line="360" w:lineRule="auto"/>
        <w:ind w:firstLineChars="0"/>
        <w:jc w:val="left"/>
        <w:rPr>
          <w:rFonts w:hint="eastAsia" w:asciiTheme="minorHAnsi" w:hAnsiTheme="minorHAnsi" w:eastAsiaTheme="majorEastAsia" w:cstheme="minorHAnsi"/>
          <w:kern w:val="0"/>
          <w:szCs w:val="21"/>
          <w:lang w:val="en-US" w:eastAsia="zh-CN"/>
        </w:rPr>
      </w:pPr>
      <w:r>
        <w:rPr>
          <w:rFonts w:hint="default" w:asciiTheme="minorHAnsi" w:hAnsiTheme="minorHAnsi" w:eastAsiaTheme="majorEastAsia" w:cstheme="minorHAnsi"/>
          <w:kern w:val="0"/>
          <w:szCs w:val="21"/>
          <w:lang w:val="en-US" w:eastAsia="zh-CN"/>
        </w:rPr>
        <w:t>南洋理工大学（Nanyang Technological University），简称NTU，</w:t>
      </w:r>
      <w:r>
        <w:rPr>
          <w:rFonts w:hint="eastAsia" w:asciiTheme="minorHAnsi" w:hAnsiTheme="minorHAnsi" w:eastAsiaTheme="majorEastAsia" w:cstheme="minorHAnsi"/>
          <w:kern w:val="0"/>
          <w:szCs w:val="21"/>
          <w:lang w:val="en-US" w:eastAsia="zh-CN"/>
        </w:rPr>
        <w:t>是新加坡首屈一指的世界顶级综合类研究型大学，同时也是新加坡一所科研密集型大学；</w:t>
      </w:r>
    </w:p>
    <w:p>
      <w:pPr>
        <w:pStyle w:val="21"/>
        <w:widowControl/>
        <w:numPr>
          <w:ilvl w:val="0"/>
          <w:numId w:val="3"/>
        </w:numPr>
        <w:spacing w:line="360" w:lineRule="auto"/>
        <w:ind w:firstLineChars="0"/>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lang w:val="en-US" w:eastAsia="zh-CN"/>
        </w:rPr>
        <w:t>全球十大最美丽的校园之列。 南大是环太平洋大学联盟、新工科教育国际联盟成员，全球高校人工智能学术联盟创始成员、</w:t>
      </w:r>
      <w:r>
        <w:rPr>
          <w:rFonts w:hint="default" w:asciiTheme="minorHAnsi" w:hAnsiTheme="minorHAnsi" w:eastAsiaTheme="majorEastAsia" w:cstheme="minorHAnsi"/>
          <w:kern w:val="0"/>
          <w:szCs w:val="21"/>
          <w:lang w:val="en-US" w:eastAsia="zh-CN"/>
        </w:rPr>
        <w:t xml:space="preserve">AACSB </w:t>
      </w:r>
      <w:r>
        <w:rPr>
          <w:rFonts w:hint="eastAsia" w:asciiTheme="minorHAnsi" w:hAnsiTheme="minorHAnsi" w:eastAsiaTheme="majorEastAsia" w:cstheme="minorHAnsi"/>
          <w:kern w:val="0"/>
          <w:szCs w:val="21"/>
          <w:lang w:val="en-US" w:eastAsia="zh-CN"/>
        </w:rPr>
        <w:t>认证成员、国际事务专业学院协会成员，也是国际科技大学联盟的发起成员。南大在许多领域的研究享有世界盛名，为工科和商科并重的综合性大学；</w:t>
      </w:r>
    </w:p>
    <w:p>
      <w:pPr>
        <w:pStyle w:val="21"/>
        <w:widowControl/>
        <w:numPr>
          <w:ilvl w:val="0"/>
          <w:numId w:val="3"/>
        </w:numPr>
        <w:spacing w:line="360" w:lineRule="auto"/>
        <w:ind w:firstLineChars="0"/>
        <w:jc w:val="left"/>
        <w:rPr>
          <w:rFonts w:hint="eastAsia" w:cs="Arial" w:asciiTheme="minorHAnsi" w:hAnsiTheme="minorHAnsi"/>
          <w:color w:val="333333"/>
          <w:kern w:val="0"/>
          <w:szCs w:val="21"/>
        </w:rPr>
      </w:pPr>
      <w:r>
        <w:rPr>
          <w:rFonts w:hint="eastAsia" w:asciiTheme="minorHAnsi" w:hAnsiTheme="minorHAnsi" w:eastAsiaTheme="majorEastAsia" w:cstheme="minorHAnsi"/>
          <w:kern w:val="0"/>
          <w:szCs w:val="21"/>
          <w:lang w:val="en-US" w:eastAsia="zh-CN"/>
        </w:rPr>
        <w:t>2023 年 QS 世界大学排名全球第 19 名。南</w:t>
      </w:r>
      <w:r>
        <w:rPr>
          <w:rFonts w:hint="default" w:asciiTheme="minorHAnsi" w:hAnsiTheme="minorHAnsi" w:eastAsiaTheme="majorEastAsia" w:cstheme="minorHAnsi"/>
          <w:kern w:val="0"/>
          <w:szCs w:val="21"/>
          <w:lang w:val="en-US" w:eastAsia="zh-CN"/>
        </w:rPr>
        <w:t>大被“QS世界大学排名”评为世界顶尖大学之一，并多年蝉联全球年轻大学榜首。 </w:t>
      </w:r>
    </w:p>
    <w:p>
      <w:pPr>
        <w:widowControl/>
        <w:spacing w:line="360" w:lineRule="auto"/>
        <w:ind w:left="420" w:firstLine="420" w:firstLineChars="200"/>
        <w:jc w:val="left"/>
        <w:rPr>
          <w:rFonts w:hint="eastAsia" w:cs="Arial" w:asciiTheme="minorHAnsi" w:hAnsiTheme="minorHAnsi"/>
          <w:color w:val="333333"/>
          <w:kern w:val="0"/>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w:t>
      </w:r>
      <w:r>
        <w:rPr>
          <w:rFonts w:hint="default" w:asciiTheme="minorHAnsi" w:hAnsiTheme="minorHAnsi" w:eastAsiaTheme="majorEastAsia" w:cstheme="minorHAnsi"/>
          <w:b/>
          <w:szCs w:val="21"/>
        </w:rPr>
        <w:t>4年</w:t>
      </w:r>
      <w:r>
        <w:rPr>
          <w:rFonts w:hint="eastAsia" w:asciiTheme="minorHAnsi" w:hAnsiTheme="minorHAnsi" w:eastAsiaTheme="majorEastAsia" w:cstheme="minorHAnsi"/>
          <w:b/>
          <w:szCs w:val="21"/>
          <w:lang w:val="en-US" w:eastAsia="zh-CN"/>
        </w:rPr>
        <w:t>7-8月（可按需定制）</w:t>
      </w:r>
    </w:p>
    <w:p>
      <w:pPr>
        <w:spacing w:line="360" w:lineRule="auto"/>
        <w:rPr>
          <w:rFonts w:cs="Calibri" w:asciiTheme="minorHAnsi" w:hAnsiTheme="minorHAnsi"/>
          <w:szCs w:val="21"/>
        </w:rPr>
      </w:pPr>
    </w:p>
    <w:p>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p>
    <w:p>
      <w:pPr>
        <w:spacing w:line="360" w:lineRule="auto"/>
        <w:ind w:left="420" w:leftChars="200"/>
        <w:rPr>
          <w:rFonts w:hint="eastAsia" w:asciiTheme="minorHAnsi" w:hAnsiTheme="minorHAnsi" w:eastAsiaTheme="majorEastAsia" w:cstheme="minorHAnsi"/>
          <w:color w:val="0000FF"/>
          <w:szCs w:val="21"/>
          <w:lang w:eastAsia="zh-CN"/>
        </w:rPr>
      </w:pPr>
      <w:r>
        <w:rPr>
          <w:rFonts w:hint="eastAsia" w:cs="Calibri" w:asciiTheme="minorHAnsi" w:hAnsiTheme="minorHAnsi"/>
          <w:color w:val="auto"/>
          <w:szCs w:val="21"/>
        </w:rPr>
        <w:t>项目为期</w:t>
      </w:r>
      <w:r>
        <w:rPr>
          <w:rFonts w:hint="eastAsia" w:cs="Calibri" w:asciiTheme="minorHAnsi" w:hAnsiTheme="minorHAnsi"/>
          <w:color w:val="auto"/>
          <w:szCs w:val="21"/>
          <w:lang w:val="en-US" w:eastAsia="zh-CN"/>
        </w:rPr>
        <w:t>8天</w:t>
      </w:r>
      <w:r>
        <w:rPr>
          <w:rFonts w:hint="eastAsia" w:cs="Calibri" w:asciiTheme="minorHAnsi" w:hAnsiTheme="minorHAnsi"/>
          <w:color w:val="auto"/>
          <w:szCs w:val="21"/>
        </w:rPr>
        <w:t>，</w:t>
      </w:r>
      <w:r>
        <w:rPr>
          <w:rFonts w:hint="eastAsia" w:asciiTheme="minorHAnsi" w:hAnsiTheme="minorHAnsi" w:eastAsiaTheme="majorEastAsia" w:cstheme="minorHAnsi"/>
          <w:color w:val="auto"/>
          <w:szCs w:val="21"/>
          <w:lang w:val="en-US" w:eastAsia="zh-CN"/>
        </w:rPr>
        <w:t>项目共计30课时，包含20课时的</w:t>
      </w:r>
      <w:r>
        <w:rPr>
          <w:rFonts w:hint="eastAsia" w:asciiTheme="minorHAnsi" w:hAnsiTheme="minorHAnsi" w:eastAsiaTheme="majorEastAsia" w:cstheme="minorHAnsi"/>
          <w:color w:val="auto"/>
          <w:szCs w:val="21"/>
        </w:rPr>
        <w:t>授课时间</w:t>
      </w:r>
      <w:r>
        <w:rPr>
          <w:rFonts w:hint="eastAsia" w:asciiTheme="minorHAnsi" w:hAnsiTheme="minorHAnsi" w:eastAsiaTheme="majorEastAsia" w:cstheme="minorHAnsi"/>
          <w:color w:val="auto"/>
          <w:szCs w:val="21"/>
          <w:lang w:val="en-US" w:eastAsia="zh-CN"/>
        </w:rPr>
        <w:t xml:space="preserve">及10课时的人文参访/企业调研/实验操作等环节。 </w:t>
      </w:r>
      <w:r>
        <w:rPr>
          <w:rFonts w:hint="eastAsia" w:asciiTheme="minorHAnsi" w:hAnsiTheme="minorHAnsi" w:eastAsiaTheme="majorEastAsia" w:cstheme="minorHAnsi"/>
          <w:color w:val="auto"/>
          <w:szCs w:val="21"/>
        </w:rPr>
        <w:t>授课时间预计为当地时间每周一至周五上午9</w:t>
      </w:r>
      <w:r>
        <w:rPr>
          <w:rFonts w:asciiTheme="minorHAnsi" w:hAnsiTheme="minorHAnsi" w:eastAsiaTheme="majorEastAsia" w:cstheme="minorHAnsi"/>
          <w:color w:val="auto"/>
          <w:szCs w:val="21"/>
        </w:rPr>
        <w:t>-12</w:t>
      </w:r>
      <w:r>
        <w:rPr>
          <w:rFonts w:hint="eastAsia" w:asciiTheme="minorHAnsi" w:hAnsiTheme="minorHAnsi" w:eastAsiaTheme="majorEastAsia" w:cstheme="minorHAnsi"/>
          <w:color w:val="auto"/>
          <w:szCs w:val="21"/>
        </w:rPr>
        <w:t>点或下午1</w:t>
      </w:r>
      <w:r>
        <w:rPr>
          <w:rFonts w:asciiTheme="minorHAnsi" w:hAnsiTheme="minorHAnsi" w:eastAsiaTheme="majorEastAsia" w:cstheme="minorHAnsi"/>
          <w:color w:val="auto"/>
          <w:szCs w:val="21"/>
        </w:rPr>
        <w:t>-4</w:t>
      </w:r>
      <w:r>
        <w:rPr>
          <w:rFonts w:hint="eastAsia" w:asciiTheme="minorHAnsi" w:hAnsiTheme="minorHAnsi" w:eastAsiaTheme="majorEastAsia" w:cstheme="minorHAnsi"/>
          <w:color w:val="auto"/>
          <w:szCs w:val="21"/>
        </w:rPr>
        <w:t>点（以校方实际安排的课表为准）</w:t>
      </w:r>
      <w:r>
        <w:rPr>
          <w:rFonts w:hint="eastAsia" w:asciiTheme="minorHAnsi" w:hAnsiTheme="minorHAnsi" w:eastAsiaTheme="majorEastAsia" w:cstheme="minorHAnsi"/>
          <w:color w:val="auto"/>
          <w:szCs w:val="21"/>
          <w:lang w:eastAsia="zh-CN"/>
        </w:rPr>
        <w:t>。</w:t>
      </w:r>
    </w:p>
    <w:p>
      <w:pPr>
        <w:spacing w:line="360" w:lineRule="auto"/>
        <w:ind w:left="420" w:leftChars="200"/>
        <w:rPr>
          <w:rFonts w:hint="eastAsia" w:asciiTheme="minorHAnsi" w:hAnsiTheme="minorHAnsi" w:eastAsiaTheme="majorEastAsia" w:cstheme="minorHAnsi"/>
          <w:szCs w:val="21"/>
        </w:rPr>
      </w:pPr>
    </w:p>
    <w:p>
      <w:pPr>
        <w:spacing w:line="360" w:lineRule="auto"/>
        <w:rPr>
          <w:rFonts w:hint="eastAsia"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pPr>
        <w:keepNext w:val="0"/>
        <w:keepLines w:val="0"/>
        <w:widowControl/>
        <w:suppressLineNumbers w:val="0"/>
        <w:jc w:val="left"/>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 xml:space="preserve">Modules for </w:t>
      </w:r>
      <w:r>
        <w:rPr>
          <w:rFonts w:hint="eastAsia" w:asciiTheme="minorHAnsi" w:hAnsiTheme="minorHAnsi" w:eastAsiaTheme="majorEastAsia" w:cstheme="minorHAnsi"/>
          <w:szCs w:val="21"/>
          <w:lang w:val="en-US" w:eastAsia="zh-CN"/>
        </w:rPr>
        <w:t>Robotics, Automation and Internet of Things</w:t>
      </w:r>
    </w:p>
    <w:p>
      <w:pPr>
        <w:keepNext w:val="0"/>
        <w:keepLines w:val="0"/>
        <w:widowControl/>
        <w:suppressLineNumbers w:val="0"/>
        <w:jc w:val="left"/>
        <w:rPr>
          <w:rFonts w:hint="eastAsia" w:asciiTheme="minorHAnsi" w:hAnsiTheme="minorHAnsi" w:eastAsiaTheme="majorEastAsia" w:cstheme="minorHAnsi"/>
          <w:szCs w:val="21"/>
          <w:lang w:val="en-US" w:eastAsia="zh-CN"/>
        </w:rPr>
      </w:pPr>
    </w:p>
    <w:p>
      <w:pPr>
        <w:spacing w:before="1" w:line="220" w:lineRule="auto"/>
        <w:rPr>
          <w:rFonts w:hint="eastAsia" w:ascii="宋体" w:hAnsi="宋体" w:eastAsia="宋体" w:cs="宋体"/>
          <w:spacing w:val="-2"/>
          <w:sz w:val="21"/>
          <w:szCs w:val="21"/>
          <w:lang w:val="en-US" w:eastAsia="zh-CN"/>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shd w:val="clear" w:color="auto" w:fill="BEBEBE"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日程</w:t>
            </w:r>
          </w:p>
        </w:tc>
        <w:tc>
          <w:tcPr>
            <w:tcW w:w="6133" w:type="dxa"/>
            <w:shd w:val="clear" w:color="auto" w:fill="BEBEBE" w:themeFill="background1" w:themeFillShade="BF"/>
          </w:tcPr>
          <w:p>
            <w:pPr>
              <w:widowControl w:val="0"/>
              <w:spacing w:before="1" w:line="220" w:lineRule="auto"/>
              <w:jc w:val="center"/>
              <w:rPr>
                <w:rFonts w:hint="default" w:ascii="宋体" w:hAnsi="宋体" w:eastAsia="宋体" w:cs="宋体"/>
                <w:b/>
                <w:bCs/>
                <w:spacing w:val="-2"/>
                <w:sz w:val="21"/>
                <w:szCs w:val="21"/>
                <w:vertAlign w:val="baseline"/>
                <w:lang w:val="en-US" w:eastAsia="zh-CN"/>
              </w:rPr>
            </w:pPr>
            <w:r>
              <w:rPr>
                <w:rFonts w:hint="eastAsia" w:ascii="宋体" w:hAnsi="宋体" w:cs="宋体"/>
                <w:b/>
                <w:bCs/>
                <w:spacing w:val="-2"/>
                <w:sz w:val="21"/>
                <w:szCs w:val="21"/>
                <w:vertAlign w:val="baseline"/>
                <w:lang w:val="en-US" w:eastAsia="zh-CN"/>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1</w:t>
            </w:r>
          </w:p>
        </w:tc>
        <w:tc>
          <w:tcPr>
            <w:tcW w:w="6133" w:type="dxa"/>
            <w:vAlign w:val="top"/>
          </w:tcPr>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Departure</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启程出发</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Arrived in Singapore</w:t>
            </w:r>
          </w:p>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抵达新加坡</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Ice-Breaker</w:t>
            </w:r>
          </w:p>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破冰之旅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2033" w:type="dxa"/>
          </w:tcPr>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2</w:t>
            </w:r>
          </w:p>
        </w:tc>
        <w:tc>
          <w:tcPr>
            <w:tcW w:w="613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Academic vs Everyday Language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学术语言与日常语言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Students will be introduced to distinctive features of academic language, including how and why they differ from every language. They will do exercises on writing in a suitable academic style.</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学生将了解学术语言的显著特点，包括它们如何以及为什么与其他语言不同？他们还将练习如何用合适的学术文体写作</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Purpose, Audience, Context: How the academic differs from the everyday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目的、受众、语境： 学术语言与日常语言的区别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Basic Principles of Good Academic Writing: the 5Cs (Correct, Clear, Concise, Coherent, Complete)</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良好学术写作的基本原则：5C（正确、清晰、简洁、连贯、完整）</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Special Features of Academic Writing Style: Depersonalisation, Nominalisation, Careful Language Academic Vocabulary: the Academic Word List</w:t>
            </w:r>
          </w:p>
          <w:p>
            <w:pPr>
              <w:pStyle w:val="27"/>
              <w:widowControl w:val="0"/>
              <w:spacing w:before="168" w:line="176" w:lineRule="auto"/>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学术写作风格的特点： 非人格化、名词化、学术词汇：学术词汇表等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0" w:hRule="atLeast"/>
        </w:trPr>
        <w:tc>
          <w:tcPr>
            <w:tcW w:w="2033" w:type="dxa"/>
          </w:tcPr>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3</w:t>
            </w:r>
          </w:p>
        </w:tc>
        <w:tc>
          <w:tcPr>
            <w:tcW w:w="613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Students will learn about some of the key features of academic texts in the social sciences by comparing different types of writing they will encounter and have to produce. They will apply the knowledge to learn a range of strategies that can be used to read such texts efficiently, effectively, and critically. In this session, students will also learn summarizing and paraphrasing skills based on the texts discussed in this session.</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学生将通过比较他们会遇到的和必须撰写的不同类型的文章，了解社会科学学术文章的一些主要特点。他们将运用所学知识学习一系列策略，以便高效、有效和批判性地阅读此类文章。在本课中，学生还将根据本课讨论的文章学习总结和转述技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5</w:t>
            </w:r>
          </w:p>
        </w:tc>
        <w:tc>
          <w:tcPr>
            <w:tcW w:w="6133" w:type="dxa"/>
            <w:vAlign w:val="top"/>
          </w:tcPr>
          <w:p>
            <w:pPr>
              <w:pStyle w:val="27"/>
              <w:widowControl w:val="0"/>
              <w:numPr>
                <w:ilvl w:val="0"/>
                <w:numId w:val="0"/>
              </w:numPr>
              <w:spacing w:before="168" w:line="176" w:lineRule="auto"/>
              <w:ind w:left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Purpose and Structure of a Discursive Essay </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论文的写作目的和结构</w:t>
            </w:r>
          </w:p>
          <w:p>
            <w:pPr>
              <w:pStyle w:val="27"/>
              <w:widowControl w:val="0"/>
              <w:numPr>
                <w:ilvl w:val="0"/>
                <w:numId w:val="0"/>
              </w:numPr>
              <w:spacing w:before="168" w:line="176" w:lineRule="auto"/>
              <w:ind w:left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In this and the next session, students will learn how to produce a good discursive essay, a main form of writing in the social sciences.</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学习如何撰写一篇优秀的议论文，这是社会科学写作的一种主要形式</w:t>
            </w:r>
          </w:p>
          <w:p>
            <w:pPr>
              <w:pStyle w:val="27"/>
              <w:widowControl w:val="0"/>
              <w:numPr>
                <w:ilvl w:val="0"/>
                <w:numId w:val="0"/>
              </w:numPr>
              <w:spacing w:before="168" w:line="176" w:lineRule="auto"/>
              <w:ind w:left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In this session, they will be given an essay topic in the form of a proposition to be discussed. Based on model essays as examples, they will work in groups to outline and draft an essay to argue for or against the given proposition. The goal is for them to learn and practice the structure of an effective discursive essay.</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学生</w:t>
            </w:r>
            <w:r>
              <w:rPr>
                <w:rFonts w:hint="default" w:ascii="宋体" w:hAnsi="宋体" w:eastAsia="宋体" w:cs="宋体"/>
                <w:spacing w:val="-1"/>
                <w:sz w:val="21"/>
                <w:szCs w:val="21"/>
                <w:lang w:val="en-US" w:eastAsia="zh-CN"/>
              </w:rPr>
              <w:t>将得到一个需要讨论的命题形式的论文题目。根据范文作为例子，他们将分组讨论提纲并起草一篇文章，以论证或反对所给的命题。目的是让他们学习和练习有效的议论文结构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2033"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6</w:t>
            </w:r>
          </w:p>
        </w:tc>
        <w:tc>
          <w:tcPr>
            <w:tcW w:w="6133" w:type="dxa"/>
            <w:vAlign w:val="top"/>
          </w:tcPr>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Literature Reviews: Purpose and Structure &amp; Preparing to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文献综述：目的、结构和写作准备 </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Write Literature reviews are a common type of writing for social sciences studies. Students will be introduced to the purpose and the structure of a literature review. Model literature reviews will be provided for analysis. Activities will be conducted to familiarize students with the usual practices of analysing and synthesizing past studies</w:t>
            </w:r>
          </w:p>
          <w:p>
            <w:pPr>
              <w:pStyle w:val="27"/>
              <w:widowControl w:val="0"/>
              <w:spacing w:before="168" w:line="176" w:lineRule="auto"/>
              <w:jc w:val="both"/>
              <w:rPr>
                <w:rFonts w:hint="default" w:ascii="宋体" w:hAnsi="宋体" w:eastAsia="宋体" w:cs="宋体"/>
                <w:sz w:val="21"/>
                <w:szCs w:val="21"/>
                <w:lang w:val="en-US" w:eastAsia="zh-CN"/>
              </w:rPr>
            </w:pPr>
            <w:r>
              <w:rPr>
                <w:rFonts w:hint="eastAsia" w:ascii="宋体" w:hAnsi="宋体" w:eastAsia="宋体" w:cs="宋体"/>
                <w:spacing w:val="-1"/>
                <w:sz w:val="21"/>
                <w:szCs w:val="21"/>
                <w:lang w:val="en-US" w:eastAsia="zh-CN"/>
              </w:rPr>
              <w:t>文献综述是社会科学研究中常见的一种写作类型；将向学生介绍文献综述的目的和结构；将提供文献综述范文以供分析；将开展活动，让学生熟悉分析和综合过去研究的通常做法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pPr>
              <w:pStyle w:val="27"/>
              <w:widowControl w:val="0"/>
              <w:spacing w:before="171" w:line="174" w:lineRule="auto"/>
              <w:ind w:firstLine="412" w:firstLineChars="200"/>
              <w:jc w:val="left"/>
              <w:rPr>
                <w:rFonts w:hint="eastAsia" w:ascii="宋体" w:hAnsi="宋体" w:eastAsia="宋体" w:cs="宋体"/>
                <w:spacing w:val="-2"/>
                <w:kern w:val="2"/>
                <w:sz w:val="21"/>
                <w:szCs w:val="21"/>
                <w:vertAlign w:val="baseline"/>
                <w:lang w:val="en-US" w:eastAsia="zh-CN" w:bidi="ar-SA"/>
              </w:rPr>
            </w:pPr>
          </w:p>
          <w:p>
            <w:pPr>
              <w:pStyle w:val="27"/>
              <w:widowControl w:val="0"/>
              <w:spacing w:before="171" w:line="174" w:lineRule="auto"/>
              <w:ind w:firstLine="412" w:firstLineChars="200"/>
              <w:jc w:val="left"/>
              <w:rPr>
                <w:rFonts w:hint="eastAsia" w:ascii="宋体" w:hAnsi="宋体" w:eastAsia="宋体" w:cs="宋体"/>
                <w:spacing w:val="-2"/>
                <w:kern w:val="2"/>
                <w:sz w:val="21"/>
                <w:szCs w:val="21"/>
                <w:vertAlign w:val="baseline"/>
                <w:lang w:val="en-US" w:eastAsia="zh-CN" w:bidi="ar-SA"/>
              </w:rPr>
            </w:pPr>
          </w:p>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Day 6</w:t>
            </w:r>
          </w:p>
        </w:tc>
        <w:tc>
          <w:tcPr>
            <w:tcW w:w="6133"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Project Presentation &amp; Closing Remarks</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访学汇报与结业典礼</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小组项目展示 </w:t>
            </w:r>
          </w:p>
          <w:p>
            <w:pPr>
              <w:pStyle w:val="27"/>
              <w:widowControl w:val="0"/>
              <w:spacing w:before="171" w:line="174" w:lineRule="auto"/>
              <w:jc w:val="left"/>
              <w:rPr>
                <w:rFonts w:hint="default" w:ascii="宋体" w:hAnsi="宋体" w:eastAsia="宋体" w:cs="宋体"/>
                <w:spacing w:val="-2"/>
                <w:kern w:val="2"/>
                <w:sz w:val="21"/>
                <w:szCs w:val="21"/>
                <w:vertAlign w:val="baseline"/>
                <w:lang w:eastAsia="zh-CN" w:bidi="ar-SA"/>
              </w:rPr>
            </w:pPr>
            <w:r>
              <w:rPr>
                <w:rFonts w:hint="eastAsia" w:ascii="宋体" w:hAnsi="宋体" w:eastAsia="宋体" w:cs="宋体"/>
                <w:spacing w:val="-2"/>
                <w:kern w:val="2"/>
                <w:sz w:val="21"/>
                <w:szCs w:val="21"/>
                <w:vertAlign w:val="baseline"/>
                <w:lang w:val="en-US" w:eastAsia="zh-CN" w:bidi="ar-SA"/>
              </w:rPr>
              <w:t xml:space="preserve">Opportunities for International </w:t>
            </w:r>
            <w:r>
              <w:rPr>
                <w:rFonts w:hint="default" w:ascii="宋体" w:hAnsi="宋体" w:eastAsia="宋体" w:cs="宋体"/>
                <w:spacing w:val="-2"/>
                <w:kern w:val="2"/>
                <w:sz w:val="21"/>
                <w:szCs w:val="21"/>
                <w:vertAlign w:val="baseline"/>
                <w:lang w:eastAsia="zh-CN" w:bidi="ar-SA"/>
              </w:rPr>
              <w:t>Students</w:t>
            </w:r>
          </w:p>
          <w:p>
            <w:pPr>
              <w:pStyle w:val="27"/>
              <w:widowControl w:val="0"/>
              <w:spacing w:before="171" w:line="174" w:lineRule="auto"/>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Group1/2/3/4/5...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Day 7</w:t>
            </w:r>
          </w:p>
        </w:tc>
        <w:tc>
          <w:tcPr>
            <w:tcW w:w="6133" w:type="dxa"/>
            <w:vAlign w:val="top"/>
          </w:tcPr>
          <w:p>
            <w:pPr>
              <w:pStyle w:val="27"/>
              <w:widowControl w:val="0"/>
              <w:spacing w:before="171" w:line="174" w:lineRule="auto"/>
              <w:jc w:val="left"/>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上午:牛车水-小印度-鱼尾狮公园-甘傍格南-哈芝巷</w:t>
            </w:r>
          </w:p>
          <w:p>
            <w:pPr>
              <w:pStyle w:val="27"/>
              <w:widowControl w:val="0"/>
              <w:spacing w:before="171" w:line="174" w:lineRule="auto"/>
              <w:jc w:val="left"/>
              <w:rPr>
                <w:rFonts w:hint="default" w:ascii="宋体" w:hAnsi="宋体" w:eastAsia="宋体" w:cs="宋体"/>
                <w:spacing w:val="-2"/>
                <w:kern w:val="2"/>
                <w:sz w:val="21"/>
                <w:szCs w:val="21"/>
                <w:vertAlign w:val="baseline"/>
                <w:lang w:val="en-US" w:eastAsia="zh-CN" w:bidi="ar-SA"/>
              </w:rPr>
            </w:pPr>
            <w:r>
              <w:rPr>
                <w:rFonts w:hint="default" w:ascii="宋体" w:hAnsi="宋体" w:eastAsia="宋体" w:cs="宋体"/>
                <w:spacing w:val="-1"/>
                <w:sz w:val="21"/>
                <w:szCs w:val="21"/>
                <w:lang w:val="en-US" w:eastAsia="zh-CN"/>
              </w:rPr>
              <w:t>下午:参访世界文化遗产/新加坡植物园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Day 8</w:t>
            </w:r>
          </w:p>
        </w:tc>
        <w:tc>
          <w:tcPr>
            <w:tcW w:w="6133"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sz w:val="21"/>
                <w:szCs w:val="21"/>
              </w:rPr>
              <w:t>到达国内 Back to China :)</w:t>
            </w:r>
          </w:p>
        </w:tc>
      </w:tr>
    </w:tbl>
    <w:p>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w:t>
      </w:r>
      <w:r>
        <w:rPr>
          <w:rFonts w:hint="eastAsia" w:asciiTheme="minorEastAsia" w:hAnsiTheme="minorEastAsia" w:eastAsiaTheme="minorEastAsia"/>
          <w:color w:val="auto"/>
          <w:sz w:val="18"/>
          <w:szCs w:val="18"/>
          <w:lang w:val="en-US" w:eastAsia="zh-CN"/>
        </w:rPr>
        <w:t>南大</w:t>
      </w:r>
      <w:r>
        <w:rPr>
          <w:rFonts w:hint="eastAsia" w:asciiTheme="minorEastAsia" w:hAnsiTheme="minorEastAsia" w:eastAsiaTheme="minorEastAsia"/>
          <w:color w:val="auto"/>
          <w:sz w:val="18"/>
          <w:szCs w:val="18"/>
        </w:rPr>
        <w:t>校方出具的行程为准)</w:t>
      </w:r>
    </w:p>
    <w:p>
      <w:pPr>
        <w:spacing w:line="360" w:lineRule="auto"/>
        <w:rPr>
          <w:rFonts w:hint="default" w:eastAsia="宋体" w:cs="Calibri" w:asciiTheme="minorHAnsi" w:hAnsiTheme="minorHAnsi"/>
          <w:szCs w:val="21"/>
          <w:lang w:val="en-US" w:eastAsia="zh-CN"/>
        </w:rPr>
      </w:pPr>
    </w:p>
    <w:bookmarkEnd w:id="1"/>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30"/>
        <w:rPr>
          <w:rFonts w:hint="eastAsia" w:cs="Calibri" w:asciiTheme="minorHAnsi" w:hAnsiTheme="minorHAnsi"/>
          <w:szCs w:val="21"/>
          <w:lang w:val="en-US" w:eastAsia="zh-CN"/>
        </w:rPr>
      </w:pPr>
      <w:r>
        <w:rPr>
          <w:rFonts w:hint="eastAsia" w:cs="Calibri" w:asciiTheme="minorHAnsi" w:hAnsiTheme="minorHAnsi"/>
          <w:szCs w:val="21"/>
          <w:lang w:val="en-US" w:eastAsia="zh-CN"/>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pPr>
        <w:spacing w:line="360" w:lineRule="auto"/>
        <w:ind w:firstLine="430"/>
        <w:rPr>
          <w:rFonts w:hint="eastAsia" w:cs="Calibri" w:asciiTheme="minorHAnsi" w:hAnsiTheme="minorHAnsi"/>
          <w:szCs w:val="21"/>
          <w:lang w:val="en-US" w:eastAsia="zh-CN"/>
        </w:rPr>
      </w:pPr>
    </w:p>
    <w:p>
      <w:pPr>
        <w:spacing w:line="360" w:lineRule="auto"/>
        <w:ind w:firstLine="430"/>
        <w:rPr>
          <w:rFonts w:hint="eastAsia" w:cs="Calibri" w:asciiTheme="minorHAnsi" w:hAnsiTheme="minorHAnsi"/>
          <w:szCs w:val="21"/>
          <w:lang w:val="en-US" w:eastAsia="zh-CN"/>
        </w:rPr>
      </w:pPr>
    </w:p>
    <w:p>
      <w:pPr>
        <w:spacing w:line="360" w:lineRule="auto"/>
        <w:ind w:firstLine="430"/>
        <w:rPr>
          <w:rFonts w:hint="eastAsia" w:cs="Calibri" w:asciiTheme="minorHAnsi" w:hAnsiTheme="minorHAnsi"/>
          <w:szCs w:val="21"/>
          <w:lang w:val="en-US" w:eastAsia="zh-CN"/>
        </w:rPr>
      </w:pPr>
    </w:p>
    <w:p>
      <w:pPr>
        <w:widowControl/>
        <w:spacing w:line="360" w:lineRule="auto"/>
        <w:jc w:val="left"/>
        <w:rPr>
          <w:rFonts w:hint="eastAsia" w:cs="Calibri" w:asciiTheme="minorHAnsi" w:hAnsiTheme="minorHAnsi"/>
          <w:kern w:val="0"/>
          <w:sz w:val="22"/>
        </w:rPr>
      </w:pPr>
      <w:r>
        <w:rPr>
          <w:rFonts w:hint="eastAsia" w:cs="Calibri" w:asciiTheme="minorHAnsi" w:hAnsiTheme="minorHAnsi"/>
          <w:kern w:val="0"/>
          <w:sz w:val="22"/>
        </w:rPr>
        <w:t xml:space="preserve">Official Arrangements </w:t>
      </w:r>
    </w:p>
    <w:p>
      <w:pPr>
        <w:widowControl/>
        <w:numPr>
          <w:ilvl w:val="0"/>
          <w:numId w:val="4"/>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Official Invitation </w:t>
      </w:r>
    </w:p>
    <w:p>
      <w:pPr>
        <w:widowControl/>
        <w:numPr>
          <w:ilvl w:val="0"/>
          <w:numId w:val="4"/>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Certificates of Program Completion </w:t>
      </w:r>
    </w:p>
    <w:p>
      <w:pPr>
        <w:keepNext w:val="0"/>
        <w:keepLines w:val="0"/>
        <w:widowControl/>
        <w:suppressLineNumbers w:val="0"/>
        <w:jc w:val="left"/>
        <w:rPr>
          <w:rFonts w:hint="eastAsia" w:asciiTheme="minorHAnsi" w:hAnsiTheme="minorHAnsi" w:eastAsiaTheme="majorEastAsia" w:cstheme="minorHAnsi"/>
          <w:szCs w:val="21"/>
        </w:rPr>
      </w:pPr>
      <w:r>
        <w:rPr>
          <w:rFonts w:ascii="宋体" w:hAnsi="宋体" w:eastAsia="宋体" w:cs="宋体"/>
          <w:kern w:val="0"/>
          <w:sz w:val="24"/>
          <w:szCs w:val="24"/>
          <w:lang w:val="en-US" w:eastAsia="zh-CN"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eastAsia="宋体" w:cs="宋体"/>
          <w:kern w:val="0"/>
          <w:sz w:val="24"/>
          <w:szCs w:val="24"/>
          <w:lang w:val="en-US" w:eastAsia="zh-CN"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pPr>
        <w:widowControl/>
        <w:spacing w:line="360" w:lineRule="auto"/>
        <w:jc w:val="left"/>
        <w:rPr>
          <w:rFonts w:hint="eastAsia" w:asciiTheme="minorHAnsi" w:hAnsiTheme="minorHAnsi" w:eastAsiaTheme="majorEastAsia" w:cstheme="minorHAnsi"/>
          <w:szCs w:val="21"/>
        </w:rPr>
      </w:pPr>
    </w:p>
    <w:p>
      <w:pPr>
        <w:widowControl/>
        <w:spacing w:line="360" w:lineRule="auto"/>
        <w:jc w:val="left"/>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p>
      <w:pPr>
        <w:widowControl/>
        <w:spacing w:line="360" w:lineRule="auto"/>
        <w:jc w:val="left"/>
        <w:rPr>
          <w:rFonts w:cs="Calibri" w:asciiTheme="minorHAnsi" w:hAnsiTheme="minorHAnsi"/>
          <w:szCs w:val="21"/>
        </w:rPr>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hint="eastAsia" w:asciiTheme="minorHAnsi" w:hAnsiTheme="minorHAnsi" w:eastAsiaTheme="majorEastAsia" w:cstheme="minorHAnsi"/>
                <w:szCs w:val="21"/>
                <w:lang w:val="en-US" w:eastAsia="zh-CN"/>
              </w:rPr>
              <w:t>合</w:t>
            </w:r>
            <w:r>
              <w:rPr>
                <w:rFonts w:hint="eastAsia" w:asciiTheme="minorHAnsi" w:hAnsiTheme="minorHAnsi" w:eastAsiaTheme="majorEastAsia" w:cstheme="minorHAnsi"/>
                <w:szCs w:val="21"/>
              </w:rPr>
              <w:t>人民</w:t>
            </w:r>
            <w:r>
              <w:rPr>
                <w:rFonts w:hint="eastAsia" w:asciiTheme="minorHAnsi" w:hAnsiTheme="minorHAnsi" w:eastAsiaTheme="majorEastAsia" w:cstheme="minorHAnsi"/>
                <w:color w:val="auto"/>
                <w:szCs w:val="21"/>
              </w:rPr>
              <w:t>币</w:t>
            </w:r>
            <w:r>
              <w:rPr>
                <w:rFonts w:hint="eastAsia" w:asciiTheme="minorHAnsi" w:hAnsiTheme="minorHAnsi" w:eastAsiaTheme="majorEastAsia" w:cstheme="minorHAnsi"/>
                <w:color w:val="auto"/>
                <w:szCs w:val="21"/>
                <w:lang w:val="en-US" w:eastAsia="zh-CN"/>
              </w:rPr>
              <w:t>13400</w:t>
            </w:r>
            <w:r>
              <w:rPr>
                <w:rFonts w:hint="eastAsia" w:asciiTheme="minorHAnsi" w:hAnsiTheme="minorHAnsi" w:eastAsiaTheme="majorEastAsia" w:cstheme="minorHAnsi"/>
                <w:color w:val="auto"/>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pPr>
              <w:spacing w:line="360" w:lineRule="auto"/>
              <w:rPr>
                <w:rFonts w:asciiTheme="minorHAnsi" w:hAnsiTheme="minorHAnsi" w:eastAsiaTheme="majorEastAsia" w:cstheme="minorHAnsi"/>
                <w:szCs w:val="21"/>
              </w:rPr>
            </w:pPr>
            <w:bookmarkStart w:id="3" w:name="_GoBack"/>
            <w:r>
              <w:rPr>
                <w:rFonts w:hint="eastAsia" w:asciiTheme="minorHAnsi" w:hAnsiTheme="minorHAnsi" w:eastAsiaTheme="majorEastAsia" w:cstheme="minorHAnsi"/>
                <w:szCs w:val="21"/>
              </w:rPr>
              <w:t>学费、杂费、医疗与意外险、接机</w:t>
            </w:r>
            <w:r>
              <w:rPr>
                <w:rFonts w:hint="eastAsia" w:asciiTheme="minorHAnsi" w:hAnsiTheme="minorHAnsi" w:eastAsiaTheme="majorEastAsia" w:cstheme="minorHAnsi"/>
                <w:szCs w:val="21"/>
                <w:lang w:val="en-US" w:eastAsia="zh-CN"/>
              </w:rPr>
              <w:t>及</w:t>
            </w:r>
            <w:r>
              <w:rPr>
                <w:rFonts w:hint="eastAsia" w:asciiTheme="minorHAnsi" w:hAnsiTheme="minorHAnsi" w:eastAsiaTheme="majorEastAsia" w:cstheme="minorHAnsi"/>
                <w:szCs w:val="21"/>
              </w:rPr>
              <w:t>项目设计与管理费</w:t>
            </w:r>
            <w:bookmarkEnd w:id="3"/>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w:t>
            </w:r>
            <w:r>
              <w:rPr>
                <w:rFonts w:hint="eastAsia" w:asciiTheme="minorHAnsi" w:hAnsiTheme="minorHAnsi" w:eastAsiaTheme="majorEastAsia" w:cstheme="minorHAnsi"/>
                <w:szCs w:val="21"/>
                <w:lang w:val="en-US" w:eastAsia="zh-CN"/>
              </w:rPr>
              <w:t>住宿、</w:t>
            </w:r>
            <w:r>
              <w:rPr>
                <w:rFonts w:hint="eastAsia" w:asciiTheme="minorHAnsi" w:hAnsiTheme="minorHAnsi" w:eastAsiaTheme="majorEastAsia" w:cstheme="minorHAnsi"/>
                <w:szCs w:val="21"/>
              </w:rPr>
              <w:t>签证费</w:t>
            </w:r>
            <w:r>
              <w:rPr>
                <w:rFonts w:hint="eastAsia" w:asciiTheme="minorHAnsi" w:hAnsiTheme="minorHAnsi" w:eastAsiaTheme="majorEastAsia" w:cstheme="minorHAnsi"/>
                <w:szCs w:val="21"/>
                <w:lang w:val="en-US" w:eastAsia="zh-CN"/>
              </w:rPr>
              <w:t>、</w:t>
            </w:r>
            <w:r>
              <w:rPr>
                <w:rFonts w:hint="eastAsia" w:asciiTheme="minorHAnsi" w:hAnsiTheme="minorHAnsi" w:eastAsiaTheme="majorEastAsia" w:cstheme="minorHAnsi"/>
                <w:szCs w:val="21"/>
              </w:rPr>
              <w:t>个人生活费</w:t>
            </w:r>
          </w:p>
        </w:tc>
      </w:tr>
      <w:bookmarkEnd w:id="2"/>
    </w:tbl>
    <w:p>
      <w:pPr>
        <w:widowControl/>
        <w:spacing w:line="360" w:lineRule="auto"/>
        <w:jc w:val="left"/>
        <w:rPr>
          <w:rFonts w:asciiTheme="minorHAnsi" w:hAnsiTheme="minorHAnsi" w:eastAsiaTheme="majorEastAsia" w:cstheme="minorHAnsi"/>
          <w:szCs w:val="21"/>
        </w:rPr>
      </w:pPr>
    </w:p>
    <w:p>
      <w:pPr>
        <w:spacing w:line="360" w:lineRule="auto"/>
        <w:rPr>
          <w:rFonts w:asciiTheme="minorHAnsi" w:hAnsiTheme="minorHAnsi" w:eastAsiaTheme="majorEastAsia" w:cstheme="minorHAnsi"/>
          <w:b/>
          <w:kern w:val="0"/>
          <w:szCs w:val="21"/>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1"/>
        <w:widowControl/>
        <w:numPr>
          <w:ilvl w:val="0"/>
          <w:numId w:val="5"/>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kern w:val="0"/>
          <w:szCs w:val="21"/>
        </w:rPr>
        <w:t>无需托福雅思成绩，四级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w:t>
      </w:r>
      <w:r>
        <w:rPr>
          <w:rFonts w:hint="default" w:asciiTheme="minorHAnsi" w:hAnsiTheme="minorHAnsi" w:eastAsiaTheme="majorEastAsia" w:cstheme="minorHAnsi"/>
          <w:kern w:val="0"/>
          <w:szCs w:val="21"/>
          <w:lang w:eastAsia="zh-CN"/>
        </w:rPr>
        <w:t>专四65/</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p>
    <w:p>
      <w:pPr>
        <w:pStyle w:val="21"/>
        <w:numPr>
          <w:ilvl w:val="0"/>
          <w:numId w:val="5"/>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21"/>
        <w:numPr>
          <w:ilvl w:val="0"/>
          <w:numId w:val="5"/>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lang w:val="en-US" w:eastAsia="zh-CN"/>
        </w:rPr>
        <w:t>建议</w:t>
      </w:r>
      <w:r>
        <w:rPr>
          <w:rFonts w:hint="eastAsia" w:asciiTheme="minorHAnsi" w:hAnsiTheme="minorHAnsi" w:eastAsiaTheme="majorEastAsia" w:cstheme="minorHAnsi"/>
          <w:b/>
          <w:kern w:val="0"/>
          <w:szCs w:val="21"/>
        </w:rPr>
        <w:t>截止日期：</w:t>
      </w:r>
      <w:r>
        <w:rPr>
          <w:rFonts w:ascii="Calibri" w:hAnsi="Calibri" w:cs="Calibri"/>
          <w:szCs w:val="21"/>
        </w:rPr>
        <w:t>202</w:t>
      </w:r>
      <w:r>
        <w:rPr>
          <w:rFonts w:hint="eastAsia" w:ascii="Calibri" w:hAnsi="Calibri" w:cs="Calibri"/>
          <w:szCs w:val="21"/>
          <w:lang w:val="en-US" w:eastAsia="zh-CN"/>
        </w:rPr>
        <w:t>4年</w:t>
      </w:r>
    </w:p>
    <w:p>
      <w:pPr>
        <w:spacing w:line="360" w:lineRule="auto"/>
        <w:rPr>
          <w:rFonts w:hint="default" w:asciiTheme="minorHAnsi" w:hAnsiTheme="minorHAnsi" w:eastAsiaTheme="majorEastAsia" w:cstheme="minorHAnsi"/>
          <w:szCs w:val="21"/>
          <w:u w:val="single"/>
          <w:lang w:val="en-US"/>
        </w:rPr>
      </w:pPr>
      <w:r>
        <w:rPr>
          <w:rFonts w:hint="eastAsia" w:asciiTheme="minorHAnsi" w:hAnsiTheme="minorHAnsi" w:eastAsiaTheme="majorEastAsia" w:cstheme="minorHAnsi"/>
          <w:szCs w:val="21"/>
          <w:u w:val="single"/>
          <w:lang w:val="en-US" w:eastAsia="zh-CN"/>
        </w:rPr>
        <w:t xml:space="preserve">                                                                                      </w:t>
      </w:r>
    </w:p>
    <w:p>
      <w:pPr>
        <w:widowControl/>
        <w:jc w:val="left"/>
        <w:rPr>
          <w:rFonts w:cs="宋体" w:asciiTheme="minorHAnsi" w:hAnsiTheme="minorHAnsi"/>
          <w:kern w:val="0"/>
          <w:sz w:val="20"/>
          <w:szCs w:val="21"/>
          <w:u w:val="none"/>
        </w:rPr>
      </w:pP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www.usiea.org </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项目邮箱咨询：</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begin"/>
      </w:r>
      <w:r>
        <w:rPr>
          <w:rFonts w:hint="eastAsia" w:asciiTheme="minorHAnsi" w:hAnsiTheme="minorHAnsi" w:eastAsiaTheme="majorEastAsia" w:cstheme="minorHAnsi"/>
          <w:color w:val="4F81BD" w:themeColor="accent1"/>
          <w:szCs w:val="21"/>
          <w14:textFill>
            <w14:solidFill>
              <w14:schemeClr w14:val="accent1"/>
            </w14:solidFill>
          </w14:textFill>
        </w:rPr>
        <w:instrText xml:space="preserve"> HYPERLINK "mailto:visit_usyd@yeah.net" </w:instrText>
      </w:r>
      <w:r>
        <w:rPr>
          <w:rFonts w:hint="eastAsia" w:asciiTheme="minorHAnsi" w:hAnsiTheme="minorHAnsi" w:eastAsiaTheme="majorEastAsia" w:cstheme="minorHAnsi"/>
          <w:color w:val="4F81BD" w:themeColor="accent1"/>
          <w:szCs w:val="21"/>
          <w14:textFill>
            <w14:solidFill>
              <w14:schemeClr w14:val="accent1"/>
            </w14:solidFill>
          </w14:textFill>
        </w:rP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ntu</w:t>
      </w:r>
      <w:r>
        <w:rPr>
          <w:rFonts w:hint="eastAsia" w:asciiTheme="minorHAnsi" w:hAnsiTheme="minorHAnsi" w:eastAsiaTheme="majorEastAsia" w:cstheme="minorHAnsi"/>
          <w:color w:val="4F81BD" w:themeColor="accent1"/>
          <w:szCs w:val="21"/>
          <w14:textFill>
            <w14:solidFill>
              <w14:schemeClr w14:val="accent1"/>
            </w14:solidFill>
          </w14:textFill>
        </w:rPr>
        <w:t>@yeah.net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pPr>
        <w:pStyle w:val="9"/>
        <w:keepNext w:val="0"/>
        <w:keepLines w:val="0"/>
        <w:widowControl/>
        <w:suppressLineNumbers w:val="0"/>
        <w:spacing w:before="0" w:beforeAutospacing="0" w:after="0" w:afterAutospacing="0" w:line="360" w:lineRule="auto"/>
        <w:ind w:left="0" w:firstLine="0"/>
        <w:jc w:val="left"/>
        <w:rPr>
          <w:rFonts w:hint="eastAsia" w:ascii="Calibri" w:hAnsi="Calibri" w:eastAsia="宋体" w:cs="Calibri"/>
          <w:sz w:val="22"/>
          <w:szCs w:val="22"/>
          <w:lang w:eastAsia="zh-CN"/>
        </w:rPr>
      </w:pPr>
    </w:p>
    <w:p>
      <w:pPr>
        <w:widowControl/>
        <w:spacing w:line="360" w:lineRule="auto"/>
        <w:jc w:val="left"/>
        <w:rPr>
          <w:rFonts w:hint="default" w:cs="宋体" w:asciiTheme="minorHAnsi" w:hAnsiTheme="minorHAnsi"/>
          <w:kern w:val="0"/>
          <w:sz w:val="20"/>
          <w:szCs w:val="21"/>
          <w:highlight w:val="green"/>
          <w:lang w:val="en-US" w:eastAsia="zh-CN"/>
        </w:rPr>
      </w:pPr>
    </w:p>
    <w:p>
      <w:pPr>
        <w:widowControl/>
        <w:spacing w:line="360" w:lineRule="auto"/>
        <w:jc w:val="left"/>
        <w:rPr>
          <w:rFonts w:hint="default" w:cs="宋体" w:asciiTheme="minorHAnsi" w:hAnsiTheme="minorHAnsi"/>
          <w:kern w:val="0"/>
          <w:sz w:val="20"/>
          <w:szCs w:val="21"/>
          <w:highlight w:val="green"/>
          <w:lang w:val="en-US" w:eastAsia="zh-C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B564B0"/>
    <w:multiLevelType w:val="singleLevel"/>
    <w:tmpl w:val="AFB564B0"/>
    <w:lvl w:ilvl="0" w:tentative="0">
      <w:start w:val="2"/>
      <w:numFmt w:val="chineseCounting"/>
      <w:suff w:val="nothing"/>
      <w:lvlText w:val="%1、"/>
      <w:lvlJc w:val="left"/>
      <w:rPr>
        <w:rFonts w:hint="eastAsia"/>
      </w:rPr>
    </w:lvl>
  </w:abstractNum>
  <w:abstractNum w:abstractNumId="1">
    <w:nsid w:val="06E40F60"/>
    <w:multiLevelType w:val="singleLevel"/>
    <w:tmpl w:val="06E40F60"/>
    <w:lvl w:ilvl="0" w:tentative="0">
      <w:start w:val="1"/>
      <w:numFmt w:val="bullet"/>
      <w:lvlText w:val=""/>
      <w:lvlJc w:val="left"/>
      <w:pPr>
        <w:ind w:left="420" w:hanging="420"/>
      </w:pPr>
      <w:rPr>
        <w:rFonts w:hint="default" w:ascii="Wingdings" w:hAnsi="Wingdings"/>
      </w:rPr>
    </w:lvl>
  </w:abstractNum>
  <w:abstractNum w:abstractNumId="2">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3">
    <w:nsid w:val="7165FCB2"/>
    <w:multiLevelType w:val="singleLevel"/>
    <w:tmpl w:val="7165FCB2"/>
    <w:lvl w:ilvl="0" w:tentative="0">
      <w:start w:val="1"/>
      <w:numFmt w:val="bullet"/>
      <w:lvlText w:val=""/>
      <w:lvlJc w:val="left"/>
      <w:pPr>
        <w:ind w:left="420" w:hanging="420"/>
      </w:pPr>
      <w:rPr>
        <w:rFonts w:hint="default" w:ascii="Wingdings" w:hAnsi="Wingdings"/>
      </w:rPr>
    </w:lvl>
  </w:abstractNum>
  <w:abstractNum w:abstractNumId="4">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52678D2"/>
    <w:rsid w:val="06DF3581"/>
    <w:rsid w:val="0A2640E4"/>
    <w:rsid w:val="0CBA46B3"/>
    <w:rsid w:val="0CD410C8"/>
    <w:rsid w:val="10015D22"/>
    <w:rsid w:val="10D27A7E"/>
    <w:rsid w:val="11FD2FBC"/>
    <w:rsid w:val="12031B58"/>
    <w:rsid w:val="12CE4580"/>
    <w:rsid w:val="1633660B"/>
    <w:rsid w:val="182C352A"/>
    <w:rsid w:val="1B091A97"/>
    <w:rsid w:val="1D4E2CAF"/>
    <w:rsid w:val="223A11B5"/>
    <w:rsid w:val="22FA2700"/>
    <w:rsid w:val="24032E22"/>
    <w:rsid w:val="245F0FC8"/>
    <w:rsid w:val="259671F9"/>
    <w:rsid w:val="26846175"/>
    <w:rsid w:val="27201032"/>
    <w:rsid w:val="27DD5E3C"/>
    <w:rsid w:val="28BB4620"/>
    <w:rsid w:val="298E1762"/>
    <w:rsid w:val="2D22651C"/>
    <w:rsid w:val="2DBA403D"/>
    <w:rsid w:val="2E9F27F8"/>
    <w:rsid w:val="2EA855EA"/>
    <w:rsid w:val="335C2374"/>
    <w:rsid w:val="345011CA"/>
    <w:rsid w:val="354D1DB2"/>
    <w:rsid w:val="36363A93"/>
    <w:rsid w:val="364A2160"/>
    <w:rsid w:val="37F779CB"/>
    <w:rsid w:val="38E1010B"/>
    <w:rsid w:val="3B0A0C9D"/>
    <w:rsid w:val="3C91192E"/>
    <w:rsid w:val="4148218A"/>
    <w:rsid w:val="42836989"/>
    <w:rsid w:val="449479F1"/>
    <w:rsid w:val="455C39C2"/>
    <w:rsid w:val="47356E70"/>
    <w:rsid w:val="47524326"/>
    <w:rsid w:val="4794153F"/>
    <w:rsid w:val="49B7019D"/>
    <w:rsid w:val="49D255C4"/>
    <w:rsid w:val="4C100C5A"/>
    <w:rsid w:val="4D4136FD"/>
    <w:rsid w:val="4D8352B9"/>
    <w:rsid w:val="4ECF0762"/>
    <w:rsid w:val="50051124"/>
    <w:rsid w:val="50762EB8"/>
    <w:rsid w:val="51B24B0E"/>
    <w:rsid w:val="52AE775C"/>
    <w:rsid w:val="52E91829"/>
    <w:rsid w:val="531D5B22"/>
    <w:rsid w:val="53416290"/>
    <w:rsid w:val="538F119C"/>
    <w:rsid w:val="53AC58A5"/>
    <w:rsid w:val="546766CA"/>
    <w:rsid w:val="558879FE"/>
    <w:rsid w:val="55C74D2F"/>
    <w:rsid w:val="572E32B3"/>
    <w:rsid w:val="59CB64A7"/>
    <w:rsid w:val="59F37DAF"/>
    <w:rsid w:val="5BDA5FD7"/>
    <w:rsid w:val="5C0A1E9A"/>
    <w:rsid w:val="5C593EAF"/>
    <w:rsid w:val="5D63417B"/>
    <w:rsid w:val="60C76A50"/>
    <w:rsid w:val="60FE76C2"/>
    <w:rsid w:val="61FA27BB"/>
    <w:rsid w:val="634E1302"/>
    <w:rsid w:val="64DC4668"/>
    <w:rsid w:val="67C41BD4"/>
    <w:rsid w:val="696603AD"/>
    <w:rsid w:val="6A841BD5"/>
    <w:rsid w:val="6AA6219D"/>
    <w:rsid w:val="6B31467F"/>
    <w:rsid w:val="6CFC2298"/>
    <w:rsid w:val="6FAD525F"/>
    <w:rsid w:val="6FDE3B11"/>
    <w:rsid w:val="6FF84353"/>
    <w:rsid w:val="6FFB92A4"/>
    <w:rsid w:val="706D03F4"/>
    <w:rsid w:val="73120C63"/>
    <w:rsid w:val="75790F84"/>
    <w:rsid w:val="75E73437"/>
    <w:rsid w:val="77B530EB"/>
    <w:rsid w:val="77FE0B48"/>
    <w:rsid w:val="7A6B664D"/>
    <w:rsid w:val="7AAD5D10"/>
    <w:rsid w:val="7CA51739"/>
    <w:rsid w:val="7FF963E6"/>
    <w:rsid w:val="A5F77DBC"/>
    <w:rsid w:val="BE1FF691"/>
    <w:rsid w:val="FCFF3881"/>
    <w:rsid w:val="FF7CA52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Unresolved Mention"/>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6</Pages>
  <Words>2179</Words>
  <Characters>3084</Characters>
  <Lines>21</Lines>
  <Paragraphs>6</Paragraphs>
  <TotalTime>5</TotalTime>
  <ScaleCrop>false</ScaleCrop>
  <LinksUpToDate>false</LinksUpToDate>
  <CharactersWithSpaces>3335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2023-04-12T16:25:00Z</dcterms:created>
  <dc:creator>全美国际教育协会</dc:creator>
  <cp:lastModifiedBy>李晓茜</cp:lastModifiedBy>
  <cp:lastPrinted>2011-12-18T16:54:00Z</cp:lastPrinted>
  <dcterms:modified xsi:type="dcterms:W3CDTF">2023-12-05T07:30:49Z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4B5A202E4822441980F2A16B0C157E70_13</vt:lpwstr>
  </property>
</Properties>
</file>