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662"/>
        </w:tabs>
        <w:spacing w:line="360" w:lineRule="auto"/>
        <w:jc w:val="left"/>
        <w:rPr>
          <w:rFonts w:hint="eastAsia" w:asciiTheme="minorHAnsi" w:hAnsiTheme="minorHAnsi" w:eastAsiaTheme="majorEastAsia" w:cstheme="minorHAnsi"/>
          <w:b/>
          <w:kern w:val="0"/>
          <w:sz w:val="32"/>
          <w:szCs w:val="21"/>
          <w:lang w:eastAsia="zh-CN"/>
        </w:rPr>
      </w:pPr>
      <w:r>
        <w:rPr>
          <w:rFonts w:hint="eastAsia" w:asciiTheme="minorHAnsi" w:hAnsiTheme="minorHAnsi" w:eastAsiaTheme="majorEastAsia" w:cstheme="minorHAnsi"/>
          <w:b/>
          <w:kern w:val="0"/>
          <w:sz w:val="32"/>
          <w:szCs w:val="21"/>
          <w:lang w:eastAsia="zh-CN"/>
        </w:rPr>
        <w:tab/>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新加坡国立大学</w:t>
      </w:r>
    </w:p>
    <w:p>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经济发展、可持续发展与公共政策项目</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National University of Singapore</w:t>
      </w:r>
    </w:p>
    <w:p>
      <w:pPr>
        <w:widowControl/>
        <w:spacing w:line="360" w:lineRule="auto"/>
        <w:jc w:val="center"/>
        <w:rPr>
          <w:rFonts w:cs="Calibri" w:asciiTheme="minorHAnsi" w:hAnsiTheme="minorHAnsi"/>
          <w:b/>
          <w:kern w:val="0"/>
          <w:szCs w:val="21"/>
        </w:rPr>
      </w:pPr>
      <w:r>
        <w:rPr>
          <w:rFonts w:hint="eastAsia" w:asciiTheme="minorHAnsi" w:hAnsiTheme="minorHAnsi" w:eastAsiaTheme="majorEastAsia" w:cstheme="minorHAnsi"/>
          <w:kern w:val="0"/>
          <w:sz w:val="28"/>
          <w:szCs w:val="28"/>
        </w:rPr>
        <w:t>Economic</w:t>
      </w:r>
      <w:r>
        <w:rPr>
          <w:rFonts w:hint="eastAsia" w:asciiTheme="minorHAnsi" w:hAnsiTheme="minorHAnsi" w:eastAsiaTheme="majorEastAsia" w:cstheme="minorHAnsi"/>
          <w:kern w:val="0"/>
          <w:sz w:val="28"/>
          <w:szCs w:val="28"/>
          <w:lang w:val="en-US" w:eastAsia="zh-CN"/>
        </w:rPr>
        <w:t xml:space="preserve"> </w:t>
      </w:r>
      <w:r>
        <w:rPr>
          <w:rFonts w:hint="eastAsia" w:asciiTheme="minorHAnsi" w:hAnsiTheme="minorHAnsi" w:eastAsiaTheme="majorEastAsia" w:cstheme="minorHAnsi"/>
          <w:kern w:val="0"/>
          <w:sz w:val="28"/>
          <w:szCs w:val="28"/>
        </w:rPr>
        <w:t>Development,</w:t>
      </w:r>
      <w:r>
        <w:rPr>
          <w:rFonts w:hint="eastAsia" w:asciiTheme="minorHAnsi" w:hAnsiTheme="minorHAnsi" w:eastAsiaTheme="majorEastAsia" w:cstheme="minorHAnsi"/>
          <w:kern w:val="0"/>
          <w:sz w:val="28"/>
          <w:szCs w:val="28"/>
          <w:lang w:val="en-US" w:eastAsia="zh-CN"/>
        </w:rPr>
        <w:t xml:space="preserve"> </w:t>
      </w:r>
      <w:r>
        <w:rPr>
          <w:rFonts w:hint="eastAsia" w:asciiTheme="minorHAnsi" w:hAnsiTheme="minorHAnsi" w:eastAsiaTheme="majorEastAsia" w:cstheme="minorHAnsi"/>
          <w:kern w:val="0"/>
          <w:sz w:val="28"/>
          <w:szCs w:val="28"/>
        </w:rPr>
        <w:t>Sustainability</w:t>
      </w:r>
      <w:r>
        <w:rPr>
          <w:rFonts w:hint="eastAsia" w:asciiTheme="minorHAnsi" w:hAnsiTheme="minorHAnsi" w:eastAsiaTheme="majorEastAsia" w:cstheme="minorHAnsi"/>
          <w:kern w:val="0"/>
          <w:sz w:val="28"/>
          <w:szCs w:val="28"/>
          <w:lang w:val="en-US" w:eastAsia="zh-CN"/>
        </w:rPr>
        <w:t xml:space="preserve"> </w:t>
      </w:r>
      <w:r>
        <w:rPr>
          <w:rFonts w:hint="eastAsia" w:asciiTheme="minorHAnsi" w:hAnsiTheme="minorHAnsi" w:eastAsiaTheme="majorEastAsia" w:cstheme="minorHAnsi"/>
          <w:kern w:val="0"/>
          <w:sz w:val="28"/>
          <w:szCs w:val="28"/>
        </w:rPr>
        <w:t>and</w:t>
      </w:r>
      <w:r>
        <w:rPr>
          <w:rFonts w:hint="eastAsia" w:asciiTheme="minorHAnsi" w:hAnsiTheme="minorHAnsi" w:eastAsiaTheme="majorEastAsia" w:cstheme="minorHAnsi"/>
          <w:kern w:val="0"/>
          <w:sz w:val="28"/>
          <w:szCs w:val="28"/>
          <w:lang w:val="en-US" w:eastAsia="zh-CN"/>
        </w:rPr>
        <w:t xml:space="preserve"> </w:t>
      </w:r>
      <w:r>
        <w:rPr>
          <w:rFonts w:hint="eastAsia" w:asciiTheme="minorHAnsi" w:hAnsiTheme="minorHAnsi" w:eastAsiaTheme="majorEastAsia" w:cstheme="minorHAnsi"/>
          <w:kern w:val="0"/>
          <w:sz w:val="28"/>
          <w:szCs w:val="28"/>
        </w:rPr>
        <w:t>Public</w:t>
      </w:r>
      <w:r>
        <w:rPr>
          <w:rFonts w:hint="eastAsia" w:asciiTheme="minorHAnsi" w:hAnsiTheme="minorHAnsi" w:eastAsiaTheme="majorEastAsia" w:cstheme="minorHAnsi"/>
          <w:kern w:val="0"/>
          <w:sz w:val="28"/>
          <w:szCs w:val="28"/>
          <w:lang w:val="en-US" w:eastAsia="zh-CN"/>
        </w:rPr>
        <w:t xml:space="preserve"> </w:t>
      </w:r>
      <w:r>
        <w:rPr>
          <w:rFonts w:hint="eastAsia" w:asciiTheme="minorHAnsi" w:hAnsiTheme="minorHAnsi" w:eastAsiaTheme="majorEastAsia" w:cstheme="minorHAnsi"/>
          <w:kern w:val="0"/>
          <w:sz w:val="28"/>
          <w:szCs w:val="28"/>
        </w:rPr>
        <w:t>Policy</w:t>
      </w:r>
    </w:p>
    <w:p>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rPr>
      </w:pPr>
      <w:r>
        <w:rPr>
          <w:rFonts w:hint="eastAsia"/>
        </w:rPr>
        <w:t>经济学使世界运转。</w:t>
      </w:r>
      <w:r>
        <w:rPr>
          <w:rFonts w:hint="eastAsia"/>
          <w:lang w:val="en-US" w:eastAsia="zh-CN"/>
        </w:rPr>
        <w:t xml:space="preserve"> </w:t>
      </w:r>
      <w:r>
        <w:rPr>
          <w:rFonts w:hint="eastAsia"/>
        </w:rPr>
        <w:t>本课程将为学生提供关于经济学在社会中作用的详细而广泛的概述</w:t>
      </w:r>
      <w:r>
        <w:rPr>
          <w:rFonts w:hint="eastAsia"/>
          <w:lang w:eastAsia="zh-CN"/>
        </w:rPr>
        <w:t>，</w:t>
      </w:r>
      <w:r>
        <w:rPr>
          <w:rFonts w:hint="eastAsia"/>
        </w:rPr>
        <w:t>学生将学习许多最重要的经济概念。在接下来的项目中，教授将介绍对理解企业如何作用于社会起到至关重要意义的经济学概念。</w:t>
      </w:r>
      <w:r>
        <w:rPr>
          <w:rFonts w:hint="eastAsia"/>
          <w:lang w:val="en-US" w:eastAsia="zh-CN"/>
        </w:rPr>
        <w:t xml:space="preserve"> </w:t>
      </w:r>
      <w:r>
        <w:rPr>
          <w:rFonts w:hint="eastAsia"/>
        </w:rPr>
        <w:t>教授将通过对于学生的个人评估和基于演讲展示、互动练习以及课堂讨论的反馈，从而帮助参与者了解管理经济学领域及其发展的方式。我们将依靠现实世界的例子和时事将抽象概念变为现实。</w:t>
      </w:r>
    </w:p>
    <w:p>
      <w:pPr>
        <w:widowControl/>
        <w:spacing w:line="360" w:lineRule="auto"/>
        <w:jc w:val="both"/>
        <w:rPr>
          <w:rFonts w:hint="eastAsia" w:ascii="宋体" w:hAnsi="宋体" w:eastAsia="宋体" w:cs="宋体"/>
          <w:sz w:val="24"/>
          <w:szCs w:val="24"/>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因此，新加坡国立大学访学项目强调经济学原理如何应用于现实世界中的管理决策，依赖于定量数据分析，而不是使用微积分等分析方法。在授课过程中，教授本将带领学生重点讨论相关经济学案例（</w:t>
      </w:r>
      <w:r>
        <w:rPr>
          <w:rFonts w:hint="eastAsia"/>
        </w:rPr>
        <w:t>援助治理、研究方法、经济建设政策、扶贫战略和公共政策实证分析</w:t>
      </w:r>
      <w:r>
        <w:rPr>
          <w:rFonts w:hint="eastAsia"/>
          <w:lang w:val="en-US" w:eastAsia="zh-CN"/>
        </w:rPr>
        <w:t>等</w:t>
      </w:r>
      <w:r>
        <w:rPr>
          <w:rFonts w:hint="eastAsia" w:asciiTheme="minorHAnsi" w:hAnsiTheme="minorHAnsi" w:eastAsiaTheme="majorEastAsia" w:cstheme="minorHAnsi"/>
          <w:kern w:val="0"/>
          <w:szCs w:val="21"/>
          <w:lang w:val="en-US" w:eastAsia="zh-CN"/>
        </w:rPr>
        <w:t>），鼓励学生分组学习并批判性分析问题的解决方案和与案例等相关的问题。</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lang w:val="en-US" w:eastAsia="zh-CN"/>
        </w:rPr>
      </w:pPr>
      <w:r>
        <w:rPr>
          <w:rFonts w:hint="eastAsia"/>
          <w:lang w:val="en-US" w:eastAsia="zh-CN"/>
        </w:rPr>
        <w:t>1. 了解政策周期，包括确定问题和制定政策、评估政策备选方案、执行政策和评价政策，并理解国家和非国家行为者在影响政策制定方面的作用；</w:t>
      </w:r>
    </w:p>
    <w:p>
      <w:pPr>
        <w:widowControl/>
        <w:spacing w:line="360" w:lineRule="auto"/>
        <w:ind w:firstLine="420"/>
        <w:jc w:val="both"/>
        <w:rPr>
          <w:rFonts w:hint="eastAsia"/>
          <w:lang w:val="en-US" w:eastAsia="zh-CN"/>
        </w:rPr>
      </w:pPr>
      <w:r>
        <w:rPr>
          <w:rFonts w:hint="eastAsia"/>
          <w:lang w:val="en-US" w:eastAsia="zh-CN"/>
        </w:rPr>
        <w:t>2. 了解经济决策模式、有效的决策技能，并反思我们的决策过程；</w:t>
      </w:r>
    </w:p>
    <w:p>
      <w:pPr>
        <w:widowControl/>
        <w:spacing w:line="360" w:lineRule="auto"/>
        <w:ind w:firstLine="420"/>
        <w:jc w:val="both"/>
        <w:rPr>
          <w:rFonts w:hint="eastAsia"/>
          <w:lang w:val="en-US" w:eastAsia="zh-CN"/>
        </w:rPr>
      </w:pPr>
      <w:r>
        <w:rPr>
          <w:rFonts w:hint="eastAsia"/>
          <w:lang w:val="en-US" w:eastAsia="zh-CN"/>
        </w:rPr>
        <w:t xml:space="preserve">3. 了解决策模式、有效的决策技能，探讨我们的决策过程和可能存在的认知偏差； </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lang w:val="en-US" w:eastAsia="zh-CN"/>
        </w:rPr>
        <w:t>4. 理解利益相关者的识别、绘图、利益、权力、忠诚等概念，并运用这些概念来制定相关经济政策。</w:t>
      </w:r>
    </w:p>
    <w:p>
      <w:pPr>
        <w:widowControl/>
        <w:spacing w:line="360" w:lineRule="auto"/>
        <w:ind w:firstLine="420"/>
        <w:jc w:val="both"/>
        <w:rPr>
          <w:rFonts w:asciiTheme="minorHAnsi" w:hAnsiTheme="minorHAnsi" w:eastAsiaTheme="majorEastAsia" w:cstheme="minorHAnsi"/>
          <w:b/>
          <w:bCs/>
          <w:kern w:val="0"/>
          <w:szCs w:val="21"/>
        </w:rPr>
      </w:pPr>
      <w:r>
        <w:rPr>
          <w:rFonts w:hint="eastAsia" w:asciiTheme="minorHAnsi" w:hAnsiTheme="minorHAnsi" w:eastAsiaTheme="majorEastAsia" w:cstheme="minorHAnsi"/>
          <w:kern w:val="0"/>
          <w:szCs w:val="21"/>
          <w:lang w:val="en-US" w:eastAsia="zh-CN"/>
        </w:rPr>
        <w:t xml:space="preserve"> </w:t>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2"/>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极</w:t>
      </w:r>
      <w:r>
        <w:rPr>
          <w:rFonts w:hint="eastAsia" w:asciiTheme="minorHAnsi" w:hAnsiTheme="minorHAnsi" w:eastAsiaTheme="majorEastAsia" w:cstheme="minorHAnsi"/>
          <w:b/>
          <w:bCs/>
          <w:kern w:val="0"/>
          <w:szCs w:val="21"/>
        </w:rPr>
        <w:t>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管理经济学与公共政策</w:t>
      </w:r>
      <w:r>
        <w:rPr>
          <w:rFonts w:hint="eastAsia" w:asciiTheme="minorHAnsi" w:hAnsiTheme="minorHAnsi" w:eastAsiaTheme="majorEastAsia" w:cstheme="minorHAnsi"/>
          <w:kern w:val="0"/>
          <w:szCs w:val="21"/>
        </w:rPr>
        <w:t>两个层面，全方位提升学生培养大数据背景下对于信息的筛选能力及思考模式；</w:t>
      </w:r>
    </w:p>
    <w:p>
      <w:pPr>
        <w:pStyle w:val="22"/>
        <w:widowControl/>
        <w:numPr>
          <w:ilvl w:val="0"/>
          <w:numId w:val="1"/>
        </w:numPr>
        <w:spacing w:line="360" w:lineRule="auto"/>
        <w:ind w:firstLineChars="0"/>
        <w:jc w:val="both"/>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【饱满实用的课程设置】</w:t>
      </w:r>
      <w:r>
        <w:rPr>
          <w:rFonts w:hint="eastAsia" w:asciiTheme="minorHAnsi" w:hAnsiTheme="minorHAnsi" w:eastAsiaTheme="majorEastAsia" w:cstheme="minorHAnsi"/>
          <w:kern w:val="0"/>
          <w:szCs w:val="21"/>
          <w:lang w:val="en-US" w:eastAsia="zh-CN"/>
        </w:rPr>
        <w:t>40课时</w:t>
      </w:r>
      <w:r>
        <w:rPr>
          <w:rFonts w:hint="eastAsia" w:asciiTheme="minorHAnsi" w:hAnsiTheme="minorHAnsi" w:eastAsiaTheme="majorEastAsia" w:cstheme="minorHAnsi"/>
          <w:kern w:val="0"/>
          <w:szCs w:val="21"/>
        </w:rPr>
        <w:t>足质足量，有效强化学生</w:t>
      </w:r>
      <w:r>
        <w:rPr>
          <w:rFonts w:hint="eastAsia" w:asciiTheme="minorHAnsi" w:hAnsiTheme="minorHAnsi" w:eastAsiaTheme="majorEastAsia" w:cstheme="minorHAnsi"/>
          <w:kern w:val="0"/>
          <w:szCs w:val="21"/>
          <w:lang w:val="en-US" w:eastAsia="zh-CN"/>
        </w:rPr>
        <w:t>经济发展与公共政策的</w:t>
      </w:r>
      <w:r>
        <w:rPr>
          <w:rFonts w:hint="eastAsia" w:asciiTheme="minorHAnsi" w:hAnsiTheme="minorHAnsi" w:eastAsiaTheme="majorEastAsia" w:cstheme="minorHAnsi"/>
          <w:kern w:val="0"/>
          <w:szCs w:val="21"/>
        </w:rPr>
        <w:t>实用技巧；</w:t>
      </w:r>
    </w:p>
    <w:p>
      <w:pPr>
        <w:pStyle w:val="22"/>
        <w:widowControl/>
        <w:numPr>
          <w:ilvl w:val="0"/>
          <w:numId w:val="1"/>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lang w:val="en-US" w:eastAsia="zh-CN"/>
        </w:rPr>
        <w:t>无</w:t>
      </w:r>
      <w:r>
        <w:rPr>
          <w:rFonts w:hint="eastAsia" w:asciiTheme="minorHAnsi" w:hAnsiTheme="minorHAnsi" w:eastAsiaTheme="majorEastAsia" w:cstheme="minorHAnsi"/>
          <w:kern w:val="0"/>
          <w:szCs w:val="21"/>
        </w:rPr>
        <w:t>需托福雅思成绩，四级</w:t>
      </w:r>
      <w:r>
        <w:rPr>
          <w:rFonts w:hint="eastAsia" w:asciiTheme="minorHAnsi" w:hAnsiTheme="minorHAnsi" w:eastAsiaTheme="majorEastAsia" w:cstheme="minorHAnsi"/>
          <w:kern w:val="0"/>
          <w:szCs w:val="21"/>
          <w:lang w:val="en-US" w:eastAsia="zh-CN"/>
        </w:rPr>
        <w:t>425/多邻国90/高考110</w:t>
      </w:r>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val="en-US" w:eastAsia="zh-CN"/>
        </w:rPr>
        <w:t>;</w:t>
      </w:r>
    </w:p>
    <w:p>
      <w:pPr>
        <w:pStyle w:val="22"/>
        <w:widowControl/>
        <w:numPr>
          <w:ilvl w:val="0"/>
          <w:numId w:val="1"/>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w:t>
      </w:r>
      <w:r>
        <w:rPr>
          <w:rFonts w:hint="eastAsia" w:asciiTheme="minorHAnsi" w:hAnsiTheme="minorHAnsi" w:eastAsiaTheme="majorEastAsia" w:cstheme="minorHAnsi"/>
          <w:kern w:val="0"/>
          <w:szCs w:val="21"/>
          <w:lang w:val="en-US" w:eastAsia="zh-CN"/>
        </w:rPr>
        <w:t>新加坡国立大学</w:t>
      </w:r>
      <w:r>
        <w:rPr>
          <w:rFonts w:hint="eastAsia" w:asciiTheme="minorHAnsi" w:hAnsiTheme="minorHAnsi" w:eastAsiaTheme="majorEastAsia" w:cstheme="minorHAnsi"/>
          <w:kern w:val="0"/>
          <w:szCs w:val="21"/>
        </w:rPr>
        <w:t>正式的课程</w:t>
      </w:r>
      <w:r>
        <w:rPr>
          <w:rFonts w:hint="eastAsia" w:asciiTheme="minorHAnsi" w:hAnsiTheme="minorHAnsi" w:eastAsiaTheme="majorEastAsia" w:cstheme="minorHAnsi"/>
          <w:kern w:val="0"/>
          <w:szCs w:val="21"/>
          <w:lang w:val="en-US" w:eastAsia="zh-CN"/>
        </w:rPr>
        <w:t>邀请函</w:t>
      </w:r>
      <w:r>
        <w:rPr>
          <w:rFonts w:hint="eastAsia" w:asciiTheme="minorHAnsi" w:hAnsiTheme="minorHAnsi" w:eastAsiaTheme="majorEastAsia" w:cstheme="minorHAnsi"/>
          <w:kern w:val="0"/>
          <w:szCs w:val="21"/>
        </w:rPr>
        <w:t>与参课证明，享受学校图书馆等资源，并可</w:t>
      </w:r>
      <w:r>
        <w:rPr>
          <w:rFonts w:hint="eastAsia" w:asciiTheme="minorHAnsi" w:hAnsiTheme="minorHAnsi" w:eastAsiaTheme="majorEastAsia" w:cstheme="minorHAnsi"/>
          <w:kern w:val="0"/>
          <w:szCs w:val="21"/>
          <w:lang w:val="en-US" w:eastAsia="zh-CN"/>
        </w:rPr>
        <w:t>从</w:t>
      </w:r>
      <w:r>
        <w:rPr>
          <w:rFonts w:hint="eastAsia" w:asciiTheme="minorHAnsi" w:hAnsiTheme="minorHAnsi" w:eastAsiaTheme="majorEastAsia" w:cstheme="minorHAnsi"/>
          <w:kern w:val="0"/>
          <w:szCs w:val="21"/>
        </w:rPr>
        <w:t>学习空间、教育技术等方面深度体验</w:t>
      </w:r>
      <w:r>
        <w:rPr>
          <w:rFonts w:hint="eastAsia" w:asciiTheme="minorHAnsi" w:hAnsiTheme="minorHAnsi" w:eastAsiaTheme="majorEastAsia" w:cstheme="minorHAnsi"/>
          <w:kern w:val="0"/>
          <w:szCs w:val="21"/>
          <w:lang w:val="en-US" w:eastAsia="zh-CN"/>
        </w:rPr>
        <w:t>新加坡</w:t>
      </w:r>
      <w:r>
        <w:rPr>
          <w:rFonts w:hint="eastAsia" w:asciiTheme="minorHAnsi" w:hAnsiTheme="minorHAnsi" w:eastAsiaTheme="majorEastAsia" w:cstheme="minorHAnsi"/>
          <w:kern w:val="0"/>
          <w:szCs w:val="21"/>
        </w:rPr>
        <w:t>的社会与文化</w:t>
      </w:r>
      <w:bookmarkEnd w:id="0"/>
      <w:r>
        <w:rPr>
          <w:rFonts w:hint="eastAsia" w:asciiTheme="minorHAnsi" w:hAnsiTheme="minorHAnsi" w:eastAsiaTheme="majorEastAsia" w:cstheme="minorHAnsi"/>
          <w:kern w:val="0"/>
          <w:szCs w:val="21"/>
          <w:lang w:eastAsia="zh-CN"/>
        </w:rPr>
        <w:t>。</w:t>
      </w:r>
      <w:r>
        <w:rPr>
          <w:rFonts w:asciiTheme="minorHAnsi" w:hAnsiTheme="minorHAnsi" w:eastAsiaTheme="majorEastAsia" w:cstheme="minorHAnsi"/>
          <w:kern w:val="0"/>
          <w:szCs w:val="21"/>
        </w:rPr>
        <w:br w:type="textWrapping"/>
      </w: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hint="eastAsia" w:asciiTheme="minorHAnsi" w:hAnsiTheme="minorHAnsi" w:eastAsiaTheme="majorEastAsia" w:cstheme="minorHAnsi"/>
          <w:b/>
          <w:bCs/>
          <w:kern w:val="0"/>
          <w:szCs w:val="21"/>
          <w:lang w:val="en-US" w:eastAsia="zh-CN"/>
        </w:rPr>
        <w:t>新加坡国立</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2"/>
        <w:widowControl/>
        <w:numPr>
          <w:ilvl w:val="0"/>
          <w:numId w:val="1"/>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新加坡国立大学（National University of Singapore），简称国大（NUS），是一所位于新加坡的公立研究型大学，创办于1905年，是新加坡历史最悠久、规模最大、声誉最高的大学之一</w:t>
      </w:r>
      <w:r>
        <w:rPr>
          <w:rFonts w:hint="eastAsia" w:asciiTheme="minorHAnsi" w:hAnsiTheme="minorHAnsi" w:eastAsiaTheme="majorEastAsia" w:cstheme="minorHAnsi"/>
          <w:kern w:val="0"/>
          <w:szCs w:val="21"/>
          <w:lang w:val="en-US" w:eastAsia="zh-CN"/>
        </w:rPr>
        <w:t>；</w:t>
      </w:r>
    </w:p>
    <w:p>
      <w:pPr>
        <w:pStyle w:val="22"/>
        <w:widowControl/>
        <w:numPr>
          <w:ilvl w:val="0"/>
          <w:numId w:val="1"/>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在国际框架下推展高深优质的教育与科研之际，突出展现亚洲视角和优势，商学院获有</w:t>
      </w:r>
      <w:r>
        <w:rPr>
          <w:rFonts w:hint="default" w:asciiTheme="minorHAnsi" w:hAnsiTheme="minorHAnsi" w:eastAsiaTheme="majorEastAsia" w:cstheme="minorHAnsi"/>
          <w:kern w:val="0"/>
          <w:szCs w:val="21"/>
          <w:lang w:val="en-US" w:eastAsia="zh-CN"/>
        </w:rPr>
        <w:fldChar w:fldCharType="begin"/>
      </w:r>
      <w:r>
        <w:rPr>
          <w:rFonts w:hint="default" w:asciiTheme="minorHAnsi" w:hAnsiTheme="minorHAnsi" w:eastAsiaTheme="majorEastAsia" w:cstheme="minorHAnsi"/>
          <w:kern w:val="0"/>
          <w:szCs w:val="21"/>
          <w:lang w:val="en-US" w:eastAsia="zh-CN"/>
        </w:rPr>
        <w:instrText xml:space="preserve"> HYPERLINK "https://baike.baidu.com/item/AACSB?fromModule=lemma_inlink" \t "https://baike.baidu.com/item/%E6%96%B0%E5%8A%A0%E5%9D%A1%E5%9B%BD%E7%AB%8B%E5%A4%A7%E5%AD%A6/_blank" </w:instrText>
      </w:r>
      <w:r>
        <w:rPr>
          <w:rFonts w:hint="default" w:asciiTheme="minorHAnsi" w:hAnsiTheme="minorHAnsi" w:eastAsiaTheme="majorEastAsia" w:cstheme="minorHAnsi"/>
          <w:kern w:val="0"/>
          <w:szCs w:val="21"/>
          <w:lang w:val="en-US" w:eastAsia="zh-CN"/>
        </w:rPr>
        <w:fldChar w:fldCharType="separate"/>
      </w:r>
      <w:r>
        <w:rPr>
          <w:rFonts w:hint="default" w:asciiTheme="minorHAnsi" w:hAnsiTheme="minorHAnsi" w:eastAsiaTheme="majorEastAsia" w:cstheme="minorHAnsi"/>
          <w:kern w:val="0"/>
          <w:szCs w:val="21"/>
          <w:lang w:val="en-US" w:eastAsia="zh-CN"/>
        </w:rPr>
        <w:t>AACSB</w:t>
      </w:r>
      <w:r>
        <w:rPr>
          <w:rFonts w:hint="default" w:asciiTheme="minorHAnsi" w:hAnsiTheme="minorHAnsi" w:eastAsiaTheme="majorEastAsia" w:cstheme="minorHAnsi"/>
          <w:kern w:val="0"/>
          <w:szCs w:val="21"/>
          <w:lang w:val="en-US" w:eastAsia="zh-CN"/>
        </w:rPr>
        <w:fldChar w:fldCharType="end"/>
      </w:r>
      <w:r>
        <w:rPr>
          <w:rFonts w:hint="default" w:asciiTheme="minorHAnsi" w:hAnsiTheme="minorHAnsi" w:eastAsiaTheme="majorEastAsia" w:cstheme="minorHAnsi"/>
          <w:kern w:val="0"/>
          <w:szCs w:val="21"/>
          <w:lang w:val="en-US" w:eastAsia="zh-CN"/>
        </w:rPr>
        <w:t>和</w:t>
      </w:r>
      <w:r>
        <w:rPr>
          <w:rFonts w:hint="default" w:asciiTheme="minorHAnsi" w:hAnsiTheme="minorHAnsi" w:eastAsiaTheme="majorEastAsia" w:cstheme="minorHAnsi"/>
          <w:kern w:val="0"/>
          <w:szCs w:val="21"/>
          <w:lang w:val="en-US" w:eastAsia="zh-CN"/>
        </w:rPr>
        <w:fldChar w:fldCharType="begin"/>
      </w:r>
      <w:r>
        <w:rPr>
          <w:rFonts w:hint="default" w:asciiTheme="minorHAnsi" w:hAnsiTheme="minorHAnsi" w:eastAsiaTheme="majorEastAsia" w:cstheme="minorHAnsi"/>
          <w:kern w:val="0"/>
          <w:szCs w:val="21"/>
          <w:lang w:val="en-US" w:eastAsia="zh-CN"/>
        </w:rPr>
        <w:instrText xml:space="preserve"> HYPERLINK "https://baike.baidu.com/item/EQUIS?fromModule=lemma_inlink" \t "https://baike.baidu.com/item/%E6%96%B0%E5%8A%A0%E5%9D%A1%E5%9B%BD%E7%AB%8B%E5%A4%A7%E5%AD%A6/_blank" </w:instrText>
      </w:r>
      <w:r>
        <w:rPr>
          <w:rFonts w:hint="default" w:asciiTheme="minorHAnsi" w:hAnsiTheme="minorHAnsi" w:eastAsiaTheme="majorEastAsia" w:cstheme="minorHAnsi"/>
          <w:kern w:val="0"/>
          <w:szCs w:val="21"/>
          <w:lang w:val="en-US" w:eastAsia="zh-CN"/>
        </w:rPr>
        <w:fldChar w:fldCharType="separate"/>
      </w:r>
      <w:r>
        <w:rPr>
          <w:rFonts w:hint="default" w:asciiTheme="minorHAnsi" w:hAnsiTheme="minorHAnsi" w:eastAsiaTheme="majorEastAsia" w:cstheme="minorHAnsi"/>
          <w:kern w:val="0"/>
          <w:szCs w:val="21"/>
          <w:lang w:val="en-US" w:eastAsia="zh-CN"/>
        </w:rPr>
        <w:t>EQUIS</w:t>
      </w:r>
      <w:r>
        <w:rPr>
          <w:rFonts w:hint="default" w:asciiTheme="minorHAnsi" w:hAnsiTheme="minorHAnsi" w:eastAsiaTheme="majorEastAsia" w:cstheme="minorHAnsi"/>
          <w:kern w:val="0"/>
          <w:szCs w:val="21"/>
          <w:lang w:val="en-US" w:eastAsia="zh-CN"/>
        </w:rPr>
        <w:fldChar w:fldCharType="end"/>
      </w:r>
      <w:r>
        <w:rPr>
          <w:rFonts w:hint="default" w:asciiTheme="minorHAnsi" w:hAnsiTheme="minorHAnsi" w:eastAsiaTheme="majorEastAsia" w:cstheme="minorHAnsi"/>
          <w:kern w:val="0"/>
          <w:szCs w:val="21"/>
          <w:lang w:val="en-US" w:eastAsia="zh-CN"/>
        </w:rPr>
        <w:t>认证</w:t>
      </w:r>
      <w:r>
        <w:rPr>
          <w:rFonts w:hint="eastAsia" w:asciiTheme="minorHAnsi" w:hAnsiTheme="minorHAnsi" w:eastAsiaTheme="majorEastAsia" w:cstheme="minorHAnsi"/>
          <w:kern w:val="0"/>
          <w:szCs w:val="21"/>
          <w:lang w:val="en-US" w:eastAsia="zh-CN"/>
        </w:rPr>
        <w:t>；</w:t>
      </w:r>
      <w:r>
        <w:rPr>
          <w:rFonts w:hint="default" w:asciiTheme="minorHAnsi" w:hAnsiTheme="minorHAnsi" w:eastAsiaTheme="majorEastAsia" w:cstheme="minorHAnsi"/>
          <w:kern w:val="0"/>
          <w:szCs w:val="21"/>
          <w:lang w:val="en-US" w:eastAsia="zh-CN"/>
        </w:rPr>
        <w:t>学校以其强大的科研能力、全球化的教育环境和卓越的教学质量而闻名</w:t>
      </w:r>
      <w:r>
        <w:rPr>
          <w:rFonts w:hint="eastAsia" w:asciiTheme="minorHAnsi" w:hAnsiTheme="minorHAnsi" w:eastAsiaTheme="majorEastAsia" w:cstheme="minorHAnsi"/>
          <w:kern w:val="0"/>
          <w:szCs w:val="21"/>
          <w:lang w:val="en-US" w:eastAsia="zh-CN"/>
        </w:rPr>
        <w:t>；</w:t>
      </w:r>
    </w:p>
    <w:p>
      <w:pPr>
        <w:pStyle w:val="22"/>
        <w:widowControl/>
        <w:numPr>
          <w:ilvl w:val="0"/>
          <w:numId w:val="1"/>
        </w:numPr>
        <w:spacing w:line="360" w:lineRule="auto"/>
        <w:ind w:firstLineChars="0"/>
        <w:jc w:val="left"/>
        <w:rPr>
          <w:rFonts w:hint="eastAsia" w:asciiTheme="minorHAnsi" w:hAnsiTheme="minorHAnsi" w:eastAsiaTheme="majorEastAsia" w:cstheme="minorHAnsi"/>
          <w:kern w:val="0"/>
          <w:szCs w:val="21"/>
        </w:rPr>
      </w:pPr>
      <w:r>
        <w:rPr>
          <w:rFonts w:hint="default" w:asciiTheme="minorHAnsi" w:hAnsiTheme="minorHAnsi" w:eastAsiaTheme="majorEastAsia" w:cstheme="minorHAnsi"/>
          <w:kern w:val="0"/>
          <w:szCs w:val="21"/>
          <w:lang w:val="en-US" w:eastAsia="zh-CN"/>
        </w:rPr>
        <w:t>新加坡国立大学在世界大学排名中一直名列前茅，</w:t>
      </w:r>
      <w:r>
        <w:rPr>
          <w:rFonts w:hint="eastAsia" w:asciiTheme="minorHAnsi" w:hAnsiTheme="minorHAnsi" w:eastAsiaTheme="majorEastAsia" w:cstheme="minorHAnsi"/>
          <w:kern w:val="0"/>
          <w:szCs w:val="21"/>
          <w:lang w:val="en-US" w:eastAsia="zh-CN"/>
        </w:rPr>
        <w:t> 根据2024年QS世界大学排名，NUS位列亚洲第1位，全球第8位，</w:t>
      </w:r>
      <w:r>
        <w:rPr>
          <w:rFonts w:hint="default" w:asciiTheme="minorHAnsi" w:hAnsiTheme="minorHAnsi" w:eastAsiaTheme="majorEastAsia" w:cstheme="minorHAnsi"/>
          <w:kern w:val="0"/>
          <w:szCs w:val="21"/>
          <w:lang w:val="en-US" w:eastAsia="zh-CN"/>
        </w:rPr>
        <w:t> 2019年，据Wealth-X发布的报告，</w:t>
      </w:r>
      <w:r>
        <w:rPr>
          <w:rFonts w:hint="default" w:asciiTheme="minorHAnsi" w:hAnsiTheme="minorHAnsi" w:eastAsiaTheme="majorEastAsia" w:cstheme="minorHAnsi"/>
          <w:kern w:val="0"/>
          <w:szCs w:val="21"/>
          <w:lang w:val="en-US" w:eastAsia="zh-CN"/>
        </w:rPr>
        <w:fldChar w:fldCharType="begin"/>
      </w:r>
      <w:r>
        <w:rPr>
          <w:rFonts w:hint="default" w:asciiTheme="minorHAnsi" w:hAnsiTheme="minorHAnsi" w:eastAsiaTheme="majorEastAsia" w:cstheme="minorHAnsi"/>
          <w:kern w:val="0"/>
          <w:szCs w:val="21"/>
          <w:lang w:val="en-US" w:eastAsia="zh-CN"/>
        </w:rPr>
        <w:instrText xml:space="preserve"> HYPERLINK "https://baike.baidu.com/item/%E4%BA%9A%E5%A4%AA%E5%9C%B0%E5%8C%BA/11009505?fromModule=lemma_inlink" \t "https://baike.baidu.com/item/%E6%96%B0%E5%8A%A0%E5%9D%A1%E5%9B%BD%E7%AB%8B%E5%A4%A7%E5%AD%A6/_blank" </w:instrText>
      </w:r>
      <w:r>
        <w:rPr>
          <w:rFonts w:hint="default" w:asciiTheme="minorHAnsi" w:hAnsiTheme="minorHAnsi" w:eastAsiaTheme="majorEastAsia" w:cstheme="minorHAnsi"/>
          <w:kern w:val="0"/>
          <w:szCs w:val="21"/>
          <w:lang w:val="en-US" w:eastAsia="zh-CN"/>
        </w:rPr>
        <w:fldChar w:fldCharType="separate"/>
      </w:r>
      <w:r>
        <w:rPr>
          <w:rFonts w:hint="default" w:asciiTheme="minorHAnsi" w:hAnsiTheme="minorHAnsi" w:eastAsiaTheme="majorEastAsia" w:cstheme="minorHAnsi"/>
          <w:kern w:val="0"/>
          <w:szCs w:val="21"/>
          <w:lang w:val="en-US" w:eastAsia="zh-CN"/>
        </w:rPr>
        <w:t>亚太地区</w:t>
      </w:r>
      <w:r>
        <w:rPr>
          <w:rFonts w:hint="default" w:asciiTheme="minorHAnsi" w:hAnsiTheme="minorHAnsi" w:eastAsiaTheme="majorEastAsia" w:cstheme="minorHAnsi"/>
          <w:kern w:val="0"/>
          <w:szCs w:val="21"/>
          <w:lang w:val="en-US" w:eastAsia="zh-CN"/>
        </w:rPr>
        <w:fldChar w:fldCharType="end"/>
      </w:r>
      <w:r>
        <w:rPr>
          <w:rFonts w:hint="default" w:asciiTheme="minorHAnsi" w:hAnsiTheme="minorHAnsi" w:eastAsiaTheme="majorEastAsia" w:cstheme="minorHAnsi"/>
          <w:kern w:val="0"/>
          <w:szCs w:val="21"/>
          <w:lang w:val="en-US" w:eastAsia="zh-CN"/>
        </w:rPr>
        <w:t>拥有最富有校友的10所大学：新加坡国立大学位列第一</w:t>
      </w:r>
      <w:r>
        <w:rPr>
          <w:rFonts w:hint="eastAsia" w:asciiTheme="minorHAnsi" w:hAnsiTheme="minorHAnsi" w:eastAsiaTheme="majorEastAsia" w:cstheme="minorHAnsi"/>
          <w:kern w:val="0"/>
          <w:szCs w:val="21"/>
          <w:lang w:val="en-US" w:eastAsia="zh-CN"/>
        </w:rPr>
        <w:t>；</w:t>
      </w:r>
    </w:p>
    <w:p>
      <w:pPr>
        <w:pStyle w:val="22"/>
        <w:widowControl/>
        <w:numPr>
          <w:ilvl w:val="0"/>
          <w:numId w:val="1"/>
        </w:numPr>
        <w:spacing w:line="360" w:lineRule="auto"/>
        <w:ind w:firstLineChars="0"/>
        <w:jc w:val="left"/>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学校设有17个学院和研究中心，包括工程学院、科学学院、人文艺术与社会科学学院、医学院、牙医学院、法学院、商学院、公共政策学院等。学校还提供丰富多样的研究生项目，吸引了来自全球各地的优秀学生。新加坡国立大学致力于培养具有创新思维、领导力和社会责任感的全面发展的学生；</w:t>
      </w:r>
    </w:p>
    <w:p>
      <w:pPr>
        <w:pStyle w:val="22"/>
        <w:widowControl/>
        <w:numPr>
          <w:ilvl w:val="0"/>
          <w:numId w:val="1"/>
        </w:numPr>
        <w:spacing w:line="360" w:lineRule="auto"/>
        <w:ind w:firstLineChars="0"/>
        <w:jc w:val="left"/>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NUS注重国际交流与合作，与全球多个知名大学建立了伙伴关系，学校鼓励学生参与交换计划和国际实习，提供丰富的国际学习和工作机会。</w:t>
      </w:r>
    </w:p>
    <w:p>
      <w:pPr>
        <w:widowControl/>
        <w:spacing w:line="360" w:lineRule="auto"/>
        <w:ind w:left="420" w:firstLine="420" w:firstLineChars="200"/>
        <w:jc w:val="left"/>
        <w:rPr>
          <w:rFonts w:hint="eastAsia" w:cs="Arial" w:asciiTheme="minorHAnsi" w:hAnsiTheme="minorHAnsi"/>
          <w:color w:val="333333"/>
          <w:kern w:val="0"/>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spacing w:line="360" w:lineRule="auto"/>
        <w:rPr>
          <w:rFonts w:hint="eastAsia" w:cs="Calibri" w:asciiTheme="minorHAnsi" w:hAnsiTheme="minorHAnsi"/>
          <w:b/>
          <w:bCs/>
          <w:szCs w:val="21"/>
          <w:lang w:val="en-US" w:eastAsia="zh-CN"/>
        </w:rPr>
      </w:pPr>
      <w:r>
        <w:rPr>
          <w:rFonts w:hint="eastAsia" w:cs="Calibri" w:asciiTheme="minorHAnsi" w:hAnsiTheme="minorHAnsi"/>
          <w:b/>
          <w:bCs/>
          <w:szCs w:val="21"/>
          <w:lang w:val="en-US" w:eastAsia="zh-CN"/>
        </w:rPr>
        <w:t>2024年7月14日 - 7月27日</w:t>
      </w:r>
    </w:p>
    <w:p>
      <w:pPr>
        <w:spacing w:line="360" w:lineRule="auto"/>
        <w:rPr>
          <w:rFonts w:hint="default" w:cs="Calibri" w:asciiTheme="minorHAnsi" w:hAnsiTheme="minorHAnsi"/>
          <w:b/>
          <w:bCs/>
          <w:szCs w:val="21"/>
          <w:lang w:val="en-US" w:eastAsia="zh-CN"/>
        </w:rPr>
      </w:pPr>
    </w:p>
    <w:p>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pPr>
        <w:spacing w:line="360" w:lineRule="auto"/>
        <w:ind w:left="420" w:leftChars="200"/>
        <w:rPr>
          <w:rFonts w:hint="eastAsia" w:asciiTheme="minorHAnsi" w:hAnsiTheme="minorHAnsi" w:eastAsiaTheme="majorEastAsia" w:cstheme="minorHAnsi"/>
          <w:szCs w:val="21"/>
        </w:rPr>
      </w:pPr>
      <w:r>
        <w:rPr>
          <w:rFonts w:hint="eastAsia" w:cs="Calibri" w:asciiTheme="minorHAnsi" w:hAnsiTheme="minorHAnsi"/>
          <w:szCs w:val="21"/>
        </w:rPr>
        <w:t>项目为期</w:t>
      </w:r>
      <w:r>
        <w:rPr>
          <w:rFonts w:hint="eastAsia" w:cs="Calibri" w:asciiTheme="minorHAnsi" w:hAnsiTheme="minorHAnsi"/>
          <w:szCs w:val="21"/>
          <w:lang w:val="en-US" w:eastAsia="zh-CN"/>
        </w:rPr>
        <w:t>14天</w:t>
      </w:r>
      <w:r>
        <w:rPr>
          <w:rFonts w:hint="eastAsia" w:cs="Calibri" w:asciiTheme="minorHAnsi" w:hAnsiTheme="minorHAnsi"/>
          <w:szCs w:val="21"/>
        </w:rPr>
        <w:t>，</w:t>
      </w:r>
      <w:r>
        <w:rPr>
          <w:rFonts w:hint="eastAsia" w:asciiTheme="minorHAnsi" w:hAnsiTheme="minorHAnsi" w:eastAsiaTheme="majorEastAsia" w:cstheme="minorHAnsi"/>
          <w:szCs w:val="21"/>
          <w:lang w:val="en-US" w:eastAsia="zh-CN"/>
        </w:rPr>
        <w:t>项目共计40课时，包含28课时的</w:t>
      </w:r>
      <w:r>
        <w:rPr>
          <w:rFonts w:hint="eastAsia" w:asciiTheme="minorHAnsi" w:hAnsiTheme="minorHAnsi" w:eastAsiaTheme="majorEastAsia" w:cstheme="minorHAnsi"/>
          <w:szCs w:val="21"/>
        </w:rPr>
        <w:t>授课时间</w:t>
      </w:r>
      <w:r>
        <w:rPr>
          <w:rFonts w:hint="eastAsia" w:asciiTheme="minorHAnsi" w:hAnsiTheme="minorHAnsi" w:eastAsiaTheme="majorEastAsia" w:cstheme="minorHAnsi"/>
          <w:szCs w:val="21"/>
          <w:lang w:val="en-US" w:eastAsia="zh-CN"/>
        </w:rPr>
        <w:t xml:space="preserve">及12课时的人文参访/企业调研/实验操作等环节。 </w:t>
      </w:r>
      <w:r>
        <w:rPr>
          <w:rFonts w:hint="eastAsia" w:asciiTheme="minorHAnsi" w:hAnsiTheme="minorHAnsi" w:eastAsiaTheme="majorEastAsia" w:cstheme="minorHAnsi"/>
          <w:szCs w:val="21"/>
        </w:rPr>
        <w:t>授课时间预计为当地时间每周一至周五上午9</w:t>
      </w:r>
      <w:r>
        <w:rPr>
          <w:rFonts w:asciiTheme="minorHAnsi" w:hAnsiTheme="minorHAnsi" w:eastAsiaTheme="majorEastAsia" w:cstheme="minorHAnsi"/>
          <w:szCs w:val="21"/>
        </w:rPr>
        <w:t>-12</w:t>
      </w:r>
      <w:r>
        <w:rPr>
          <w:rFonts w:hint="eastAsia" w:asciiTheme="minorHAnsi" w:hAnsiTheme="minorHAnsi" w:eastAsiaTheme="majorEastAsia" w:cstheme="minorHAnsi"/>
          <w:szCs w:val="21"/>
        </w:rPr>
        <w:t>点或下午1</w:t>
      </w:r>
      <w:r>
        <w:rPr>
          <w:rFonts w:asciiTheme="minorHAnsi" w:hAnsiTheme="minorHAnsi" w:eastAsiaTheme="majorEastAsia" w:cstheme="minorHAnsi"/>
          <w:szCs w:val="21"/>
        </w:rPr>
        <w:t>-4</w:t>
      </w:r>
      <w:r>
        <w:rPr>
          <w:rFonts w:hint="eastAsia" w:asciiTheme="minorHAnsi" w:hAnsiTheme="minorHAnsi" w:eastAsiaTheme="majorEastAsia" w:cstheme="minorHAnsi"/>
          <w:szCs w:val="21"/>
        </w:rPr>
        <w:t>点（以校方实际安排的课表为准）。</w:t>
      </w:r>
    </w:p>
    <w:p>
      <w:pPr>
        <w:spacing w:line="360" w:lineRule="auto"/>
        <w:ind w:left="420" w:leftChars="200"/>
        <w:rPr>
          <w:rFonts w:hint="eastAsia" w:asciiTheme="minorHAnsi" w:hAnsiTheme="minorHAnsi" w:eastAsiaTheme="majorEastAsia" w:cstheme="minorHAnsi"/>
          <w:szCs w:val="21"/>
        </w:rPr>
      </w:pPr>
    </w:p>
    <w:p>
      <w:pPr>
        <w:spacing w:line="360" w:lineRule="auto"/>
        <w:rPr>
          <w:rFonts w:hint="default" w:ascii="微软雅黑" w:hAnsi="微软雅黑" w:eastAsia="微软雅黑" w:cs="微软雅黑"/>
          <w:b/>
          <w:bCs/>
          <w:color w:val="376092" w:themeColor="accent1" w:themeShade="BF"/>
          <w:spacing w:val="-2"/>
          <w:sz w:val="22"/>
          <w:szCs w:val="22"/>
          <w:u w:val="single"/>
          <w:lang w:val="en-US" w:eastAsia="zh-CN"/>
        </w:rPr>
      </w:pP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val="en-US" w:eastAsia="zh-CN"/>
        </w:rPr>
        <w:t>师资详情</w:t>
      </w:r>
      <w:r>
        <w:rPr>
          <w:rFonts w:hint="eastAsia"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lang w:eastAsia="zh-CN"/>
        </w:rPr>
        <w:t>（</w:t>
      </w:r>
      <w:r>
        <w:rPr>
          <w:rFonts w:hint="eastAsia" w:asciiTheme="minorHAnsi" w:hAnsiTheme="minorHAnsi" w:eastAsiaTheme="majorEastAsia" w:cstheme="minorHAnsi"/>
          <w:b/>
          <w:bCs/>
          <w:kern w:val="0"/>
          <w:szCs w:val="21"/>
          <w:lang w:val="en-US" w:eastAsia="zh-CN"/>
        </w:rPr>
        <w:t>部分</w:t>
      </w:r>
      <w:r>
        <w:rPr>
          <w:rFonts w:hint="eastAsia" w:asciiTheme="minorHAnsi" w:hAnsiTheme="minorHAnsi" w:eastAsiaTheme="majorEastAsia" w:cstheme="minorHAnsi"/>
          <w:b/>
          <w:bCs/>
          <w:kern w:val="0"/>
          <w:szCs w:val="21"/>
          <w:lang w:eastAsia="zh-CN"/>
        </w:rPr>
        <w:t>）</w:t>
      </w:r>
    </w:p>
    <w:tbl>
      <w:tblPr>
        <w:tblStyle w:val="29"/>
        <w:tblpPr w:leftFromText="180" w:rightFromText="180" w:vertAnchor="text" w:horzAnchor="page" w:tblpX="1801" w:tblpY="461"/>
        <w:tblOverlap w:val="never"/>
        <w:tblW w:w="9244"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18"/>
        <w:gridCol w:w="1872"/>
        <w:gridCol w:w="515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9244" w:type="dxa"/>
            <w:gridSpan w:val="3"/>
            <w:shd w:val="clear" w:color="auto" w:fill="D7D7D7" w:themeFill="background1" w:themeFillShade="D8"/>
          </w:tcPr>
          <w:p>
            <w:pPr>
              <w:widowControl/>
              <w:spacing w:line="360" w:lineRule="auto"/>
              <w:jc w:val="center"/>
              <w:rPr>
                <w:rFonts w:hint="default" w:cs="Calibri" w:asciiTheme="minorHAnsi" w:hAnsiTheme="minorHAnsi"/>
                <w:szCs w:val="21"/>
                <w:lang w:val="en-US" w:eastAsia="zh-CN"/>
              </w:rPr>
            </w:pPr>
            <w:r>
              <w:rPr>
                <w:rFonts w:hint="default" w:cs="Calibri" w:asciiTheme="minorHAnsi" w:hAnsiTheme="minorHAnsi"/>
                <w:b/>
                <w:bCs/>
                <w:szCs w:val="21"/>
                <w:lang w:val="en-US" w:eastAsia="zh-CN"/>
              </w:rPr>
              <w:t>公共政策下的经济发展与企业决策管理</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5" w:hRule="atLeast"/>
        </w:trPr>
        <w:tc>
          <w:tcPr>
            <w:tcW w:w="2218" w:type="dxa"/>
            <w:vMerge w:val="restart"/>
            <w:tcBorders>
              <w:bottom w:val="nil"/>
            </w:tcBorders>
          </w:tcPr>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mc:AlternateContent>
                <mc:Choice Requires="wps">
                  <w:drawing>
                    <wp:anchor distT="0" distB="0" distL="114300" distR="114300" simplePos="0" relativeHeight="251660288" behindDoc="0" locked="0" layoutInCell="1" allowOverlap="1">
                      <wp:simplePos x="0" y="0"/>
                      <wp:positionH relativeFrom="column">
                        <wp:posOffset>96520</wp:posOffset>
                      </wp:positionH>
                      <wp:positionV relativeFrom="paragraph">
                        <wp:posOffset>122555</wp:posOffset>
                      </wp:positionV>
                      <wp:extent cx="1106170" cy="1153160"/>
                      <wp:effectExtent l="0" t="0" r="11430" b="2540"/>
                      <wp:wrapNone/>
                      <wp:docPr id="15" name="文本框 15"/>
                      <wp:cNvGraphicFramePr/>
                      <a:graphic xmlns:a="http://schemas.openxmlformats.org/drawingml/2006/main">
                        <a:graphicData uri="http://schemas.microsoft.com/office/word/2010/wordprocessingShape">
                          <wps:wsp>
                            <wps:cNvSpPr txBox="1"/>
                            <wps:spPr>
                              <a:xfrm>
                                <a:off x="651510" y="6909435"/>
                                <a:ext cx="1106170" cy="115316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default" w:cs="Calibri" w:asciiTheme="minorHAnsi" w:hAnsiTheme="minorHAnsi"/>
                                      <w:szCs w:val="21"/>
                                      <w:lang w:val="en-US" w:eastAsia="zh-CN"/>
                                    </w:rPr>
                                    <w:drawing>
                                      <wp:inline distT="0" distB="0" distL="114300" distR="114300">
                                        <wp:extent cx="953135" cy="953135"/>
                                        <wp:effectExtent l="0" t="0" r="12065" b="12065"/>
                                        <wp:docPr id="1" name="图片 1" descr="caroline_brassard.tmb-140x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aroline_brassard.tmb-140x140"/>
                                                <pic:cNvPicPr>
                                                  <a:picLocks noChangeAspect="1"/>
                                                </pic:cNvPicPr>
                                              </pic:nvPicPr>
                                              <pic:blipFill>
                                                <a:blip r:embed="rId5"/>
                                                <a:stretch>
                                                  <a:fillRect/>
                                                </a:stretch>
                                              </pic:blipFill>
                                              <pic:spPr>
                                                <a:xfrm>
                                                  <a:off x="0" y="0"/>
                                                  <a:ext cx="953135" cy="95313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6pt;margin-top:9.65pt;height:90.8pt;width:87.1pt;z-index:251660288;mso-width-relative:page;mso-height-relative:page;" fillcolor="#FFFFFF [3201]" filled="t" stroked="f" coordsize="21600,21600" o:gfxdata="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">
                      <v:fill on="t" focussize="0,0"/>
                      <v:stroke on="f" weight="0.5pt"/>
                      <v:imagedata o:title=""/>
                      <o:lock v:ext="edit" aspectratio="f"/>
                      <v:textbox>
                        <w:txbxContent>
                          <w:p>
                            <w:r>
                              <w:rPr>
                                <w:rFonts w:hint="default" w:cs="Calibri" w:asciiTheme="minorHAnsi" w:hAnsiTheme="minorHAnsi"/>
                                <w:szCs w:val="21"/>
                                <w:lang w:val="en-US" w:eastAsia="zh-CN"/>
                              </w:rPr>
                              <w:drawing>
                                <wp:inline distT="0" distB="0" distL="114300" distR="114300">
                                  <wp:extent cx="953135" cy="953135"/>
                                  <wp:effectExtent l="0" t="0" r="12065" b="12065"/>
                                  <wp:docPr id="1" name="图片 1" descr="caroline_brassard.tmb-140x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aroline_brassard.tmb-140x140"/>
                                          <pic:cNvPicPr>
                                            <a:picLocks noChangeAspect="1"/>
                                          </pic:cNvPicPr>
                                        </pic:nvPicPr>
                                        <pic:blipFill>
                                          <a:blip r:embed="rId5"/>
                                          <a:stretch>
                                            <a:fillRect/>
                                          </a:stretch>
                                        </pic:blipFill>
                                        <pic:spPr>
                                          <a:xfrm>
                                            <a:off x="0" y="0"/>
                                            <a:ext cx="953135" cy="953135"/>
                                          </a:xfrm>
                                          <a:prstGeom prst="rect">
                                            <a:avLst/>
                                          </a:prstGeom>
                                        </pic:spPr>
                                      </pic:pic>
                                    </a:graphicData>
                                  </a:graphic>
                                </wp:inline>
                              </w:drawing>
                            </w:r>
                          </w:p>
                        </w:txbxContent>
                      </v:textbox>
                    </v:shape>
                  </w:pict>
                </mc:Fallback>
              </mc:AlternateContent>
            </w:r>
          </w:p>
        </w:tc>
        <w:tc>
          <w:tcPr>
            <w:tcW w:w="1872" w:type="dxa"/>
          </w:tcPr>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姓名</w:t>
            </w:r>
          </w:p>
        </w:tc>
        <w:tc>
          <w:tcPr>
            <w:tcW w:w="5154" w:type="dxa"/>
          </w:tcPr>
          <w:p>
            <w:pPr>
              <w:spacing w:line="360" w:lineRule="auto"/>
              <w:ind w:left="420" w:leftChars="200"/>
              <w:rPr>
                <w:rFonts w:hint="default" w:cs="Calibri" w:asciiTheme="minorHAnsi" w:hAnsiTheme="minorHAnsi"/>
                <w:szCs w:val="21"/>
                <w:lang w:val="en-US" w:eastAsia="zh-CN"/>
              </w:rPr>
            </w:pPr>
            <w:r>
              <w:rPr>
                <w:rFonts w:hint="eastAsia" w:cs="Calibri" w:asciiTheme="minorHAnsi" w:hAnsiTheme="minorHAnsi"/>
                <w:szCs w:val="21"/>
                <w:lang w:val="en-US" w:eastAsia="zh-CN"/>
              </w:rPr>
              <w:t>Prof. Brassard</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0" w:hRule="atLeast"/>
        </w:trPr>
        <w:tc>
          <w:tcPr>
            <w:tcW w:w="2218" w:type="dxa"/>
            <w:vMerge w:val="continue"/>
            <w:tcBorders>
              <w:top w:val="nil"/>
              <w:bottom w:val="nil"/>
            </w:tcBorders>
          </w:tcPr>
          <w:p>
            <w:pPr>
              <w:spacing w:line="360" w:lineRule="auto"/>
              <w:ind w:left="420" w:leftChars="200"/>
              <w:rPr>
                <w:rFonts w:hint="eastAsia" w:cs="Calibri" w:asciiTheme="minorHAnsi" w:hAnsiTheme="minorHAnsi"/>
                <w:szCs w:val="21"/>
                <w:lang w:val="en-US" w:eastAsia="zh-CN"/>
              </w:rPr>
            </w:pPr>
          </w:p>
        </w:tc>
        <w:tc>
          <w:tcPr>
            <w:tcW w:w="1872" w:type="dxa"/>
          </w:tcPr>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职称</w:t>
            </w:r>
          </w:p>
        </w:tc>
        <w:tc>
          <w:tcPr>
            <w:tcW w:w="5154" w:type="dxa"/>
          </w:tcPr>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在职教授</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7" w:hRule="atLeast"/>
        </w:trPr>
        <w:tc>
          <w:tcPr>
            <w:tcW w:w="2218" w:type="dxa"/>
            <w:vMerge w:val="continue"/>
            <w:tcBorders>
              <w:top w:val="nil"/>
              <w:bottom w:val="nil"/>
            </w:tcBorders>
          </w:tcPr>
          <w:p>
            <w:pPr>
              <w:spacing w:line="360" w:lineRule="auto"/>
              <w:ind w:left="420" w:leftChars="200"/>
              <w:rPr>
                <w:rFonts w:hint="eastAsia" w:cs="Calibri" w:asciiTheme="minorHAnsi" w:hAnsiTheme="minorHAnsi"/>
                <w:szCs w:val="21"/>
                <w:lang w:val="en-US" w:eastAsia="zh-CN"/>
              </w:rPr>
            </w:pPr>
          </w:p>
        </w:tc>
        <w:tc>
          <w:tcPr>
            <w:tcW w:w="1872" w:type="dxa"/>
          </w:tcPr>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任职学校</w:t>
            </w:r>
          </w:p>
        </w:tc>
        <w:tc>
          <w:tcPr>
            <w:tcW w:w="5154" w:type="dxa"/>
          </w:tcPr>
          <w:p>
            <w:pPr>
              <w:spacing w:line="360" w:lineRule="auto"/>
              <w:ind w:left="420" w:leftChars="200"/>
              <w:rPr>
                <w:rFonts w:hint="default" w:cs="Calibri" w:asciiTheme="minorHAnsi" w:hAnsiTheme="minorHAnsi"/>
                <w:szCs w:val="21"/>
                <w:lang w:val="en-US" w:eastAsia="zh-CN"/>
              </w:rPr>
            </w:pPr>
            <w:r>
              <w:rPr>
                <w:rFonts w:hint="eastAsia" w:cs="Calibri" w:asciiTheme="minorHAnsi" w:hAnsiTheme="minorHAnsi"/>
                <w:szCs w:val="21"/>
                <w:lang w:val="en-US" w:eastAsia="zh-CN"/>
              </w:rPr>
              <w:t>新加坡国立大学</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2218" w:type="dxa"/>
            <w:vMerge w:val="continue"/>
            <w:tcBorders>
              <w:top w:val="nil"/>
            </w:tcBorders>
          </w:tcPr>
          <w:p>
            <w:pPr>
              <w:spacing w:line="360" w:lineRule="auto"/>
              <w:ind w:left="420" w:leftChars="200"/>
              <w:rPr>
                <w:rFonts w:hint="eastAsia" w:cs="Calibri" w:asciiTheme="minorHAnsi" w:hAnsiTheme="minorHAnsi"/>
                <w:szCs w:val="21"/>
                <w:lang w:val="en-US" w:eastAsia="zh-CN"/>
              </w:rPr>
            </w:pPr>
          </w:p>
        </w:tc>
        <w:tc>
          <w:tcPr>
            <w:tcW w:w="1872" w:type="dxa"/>
          </w:tcPr>
          <w:p>
            <w:pPr>
              <w:spacing w:line="360" w:lineRule="auto"/>
              <w:ind w:firstLine="420" w:firstLineChars="200"/>
              <w:rPr>
                <w:rFonts w:hint="eastAsia" w:cs="Calibri" w:asciiTheme="minorHAnsi" w:hAnsiTheme="minorHAnsi"/>
                <w:szCs w:val="21"/>
                <w:lang w:val="en-US" w:eastAsia="zh-CN"/>
              </w:rPr>
            </w:pPr>
            <w:r>
              <w:rPr>
                <w:rFonts w:hint="eastAsia" w:cs="Calibri" w:asciiTheme="minorHAnsi" w:hAnsiTheme="minorHAnsi"/>
                <w:szCs w:val="21"/>
                <w:lang w:val="en-US" w:eastAsia="zh-CN"/>
              </w:rPr>
              <w:t>所属院系</w:t>
            </w:r>
          </w:p>
        </w:tc>
        <w:tc>
          <w:tcPr>
            <w:tcW w:w="5154" w:type="dxa"/>
          </w:tcPr>
          <w:p>
            <w:pPr>
              <w:spacing w:line="360" w:lineRule="auto"/>
              <w:ind w:firstLine="420" w:firstLineChars="200"/>
              <w:rPr>
                <w:rFonts w:hint="default" w:cs="Calibri" w:asciiTheme="minorHAnsi" w:hAnsiTheme="minorHAnsi"/>
                <w:szCs w:val="21"/>
                <w:lang w:val="en-US" w:eastAsia="zh-CN"/>
              </w:rPr>
            </w:pPr>
            <w:r>
              <w:rPr>
                <w:rFonts w:hint="eastAsia" w:cs="Calibri" w:asciiTheme="minorHAnsi" w:hAnsiTheme="minorHAnsi"/>
                <w:szCs w:val="21"/>
                <w:lang w:val="en-US" w:eastAsia="zh-CN"/>
              </w:rPr>
              <w:t>公共政策学院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9244" w:type="dxa"/>
            <w:gridSpan w:val="3"/>
          </w:tcPr>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个人简介</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244" w:type="dxa"/>
            <w:gridSpan w:val="3"/>
          </w:tcPr>
          <w:p>
            <w:pPr>
              <w:spacing w:line="360" w:lineRule="auto"/>
              <w:ind w:left="420" w:leftChars="200"/>
              <w:rPr>
                <w:rFonts w:hint="eastAsia" w:cs="Calibri" w:asciiTheme="minorHAnsi" w:hAnsiTheme="minorHAnsi"/>
                <w:szCs w:val="21"/>
                <w:lang w:val="en-US" w:eastAsia="zh-CN"/>
              </w:rPr>
            </w:pPr>
          </w:p>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新加坡国立大学李光耀公共政策学院教授</w:t>
            </w:r>
          </w:p>
          <w:p>
            <w:pPr>
              <w:spacing w:line="360" w:lineRule="auto"/>
              <w:ind w:left="420" w:leftChars="200"/>
              <w:rPr>
                <w:rFonts w:hint="default" w:cs="Calibri" w:asciiTheme="minorHAnsi" w:hAnsiTheme="minorHAnsi"/>
                <w:szCs w:val="21"/>
                <w:lang w:val="en-US" w:eastAsia="zh-CN"/>
              </w:rPr>
            </w:pPr>
            <w:r>
              <w:rPr>
                <w:rFonts w:hint="eastAsia" w:cs="Calibri" w:asciiTheme="minorHAnsi" w:hAnsiTheme="minorHAnsi"/>
                <w:szCs w:val="21"/>
                <w:lang w:val="en-US" w:eastAsia="zh-CN"/>
              </w:rPr>
              <w:t>加拿大多伦多大学经济学硕士</w:t>
            </w:r>
          </w:p>
          <w:p>
            <w:pPr>
              <w:spacing w:line="360" w:lineRule="auto"/>
              <w:ind w:left="420" w:leftChars="200"/>
              <w:rPr>
                <w:rFonts w:hint="eastAsia" w:cs="Calibri" w:asciiTheme="minorHAnsi" w:hAnsiTheme="minorHAnsi"/>
                <w:szCs w:val="21"/>
                <w:lang w:val="en-US" w:eastAsia="zh-CN"/>
              </w:rPr>
            </w:pPr>
            <w:r>
              <w:rPr>
                <w:rFonts w:hint="eastAsia" w:cs="Calibri" w:asciiTheme="minorHAnsi" w:hAnsiTheme="minorHAnsi"/>
                <w:szCs w:val="21"/>
                <w:lang w:val="en-US" w:eastAsia="zh-CN"/>
              </w:rPr>
              <w:t>担任加拿大安大略省政府经济学家</w:t>
            </w:r>
          </w:p>
          <w:p>
            <w:pPr>
              <w:spacing w:line="360" w:lineRule="auto"/>
              <w:ind w:left="420" w:leftChars="200"/>
              <w:rPr>
                <w:rFonts w:hint="eastAsia" w:asciiTheme="minorHAnsi" w:hAnsiTheme="minorHAnsi" w:eastAsiaTheme="majorEastAsia" w:cstheme="minorHAnsi"/>
                <w:szCs w:val="21"/>
                <w:lang w:val="en-US" w:eastAsia="zh-CN"/>
              </w:rPr>
            </w:pPr>
            <w:r>
              <w:rPr>
                <w:rFonts w:hint="eastAsia" w:cs="Calibri" w:asciiTheme="minorHAnsi" w:hAnsiTheme="minorHAnsi"/>
                <w:szCs w:val="21"/>
                <w:lang w:val="en-US" w:eastAsia="zh-CN"/>
              </w:rPr>
              <w:t>致力于为</w:t>
            </w:r>
            <w:r>
              <w:rPr>
                <w:rFonts w:hint="eastAsia" w:asciiTheme="minorHAnsi" w:hAnsiTheme="minorHAnsi" w:eastAsiaTheme="majorEastAsia" w:cstheme="minorHAnsi"/>
                <w:szCs w:val="21"/>
                <w:lang w:val="en-US" w:eastAsia="zh-CN"/>
              </w:rPr>
              <w:t>国际非政府组织从事减贫战略的研究和长期咨询工作</w:t>
            </w:r>
          </w:p>
          <w:p>
            <w:pPr>
              <w:spacing w:line="360" w:lineRule="auto"/>
              <w:ind w:left="420" w:leftChars="200"/>
              <w:rPr>
                <w:rFonts w:hint="eastAsia" w:asciiTheme="minorHAnsi" w:hAnsiTheme="minorHAnsi" w:eastAsiaTheme="majorEastAsia" w:cstheme="minorHAnsi"/>
                <w:szCs w:val="21"/>
                <w:lang w:val="en-US" w:eastAsia="zh-CN"/>
              </w:rPr>
            </w:pPr>
          </w:p>
          <w:p>
            <w:pPr>
              <w:spacing w:line="360" w:lineRule="auto"/>
              <w:ind w:left="420" w:leftChars="200"/>
              <w:rPr>
                <w:rFonts w:hint="default" w:asciiTheme="minorHAnsi" w:hAnsiTheme="minorHAnsi" w:eastAsiaTheme="majorEastAsia" w:cstheme="minorHAnsi"/>
                <w:szCs w:val="21"/>
                <w:lang w:val="en-US" w:eastAsia="zh-CN"/>
              </w:rPr>
            </w:pPr>
            <w:r>
              <w:drawing>
                <wp:inline distT="0" distB="0" distL="114300" distR="114300">
                  <wp:extent cx="5270500" cy="1610360"/>
                  <wp:effectExtent l="0" t="0" r="0" b="254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6"/>
                          <a:stretch>
                            <a:fillRect/>
                          </a:stretch>
                        </pic:blipFill>
                        <pic:spPr>
                          <a:xfrm>
                            <a:off x="0" y="0"/>
                            <a:ext cx="5270500" cy="1610360"/>
                          </a:xfrm>
                          <a:prstGeom prst="rect">
                            <a:avLst/>
                          </a:prstGeom>
                          <a:noFill/>
                          <a:ln>
                            <a:noFill/>
                          </a:ln>
                        </pic:spPr>
                      </pic:pic>
                    </a:graphicData>
                  </a:graphic>
                </wp:inline>
              </w:drawing>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9244" w:type="dxa"/>
            <w:gridSpan w:val="3"/>
          </w:tcPr>
          <w:p>
            <w:pPr>
              <w:spacing w:line="360" w:lineRule="auto"/>
              <w:ind w:left="420" w:leftChars="200"/>
              <w:rPr>
                <w:rFonts w:hint="eastAsia" w:cs="Calibri" w:asciiTheme="minorHAnsi" w:hAnsiTheme="minorHAnsi"/>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李光耀公共政策学院隶属于新加坡国立大学，成立于2004年，旨在培养一批优秀的思想家、</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政治家来建立一个更完美的世界。公共政策学院与许多国际知名高校建立了合作伙伴关系，</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学生有机会参加包括伦敦政治经济学院、北京大学、东京大学在内的一流大学的交流计划，</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并获得双学位。在2020年QS世界大学排名中，NUS的社会政策与行政管理专业名列全球第</w:t>
            </w: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十一。</w:t>
            </w:r>
          </w:p>
          <w:p>
            <w:pPr>
              <w:spacing w:line="360" w:lineRule="auto"/>
              <w:ind w:left="420" w:leftChars="200"/>
              <w:rPr>
                <w:rFonts w:hint="default" w:asciiTheme="minorHAnsi" w:hAnsiTheme="minorHAnsi" w:eastAsiaTheme="majorEastAsia" w:cstheme="minorHAnsi"/>
                <w:szCs w:val="21"/>
                <w:lang w:val="en-US" w:eastAsia="zh-CN"/>
              </w:rPr>
            </w:pPr>
          </w:p>
        </w:tc>
      </w:tr>
    </w:tbl>
    <w:p>
      <w:pPr>
        <w:spacing w:line="360" w:lineRule="auto"/>
        <w:rPr>
          <w:rFonts w:hint="eastAsia" w:asciiTheme="minorHAnsi" w:hAnsiTheme="minorHAnsi" w:eastAsiaTheme="majorEastAsia" w:cstheme="minorHAnsi"/>
          <w:szCs w:val="21"/>
        </w:rPr>
      </w:pPr>
    </w:p>
    <w:p>
      <w:pPr>
        <w:spacing w:line="360" w:lineRule="auto"/>
        <w:rPr>
          <w:rFonts w:hint="eastAsia"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Modules for Economic Development, Sustainability and Public Policy</w:t>
      </w:r>
    </w:p>
    <w:p>
      <w:pPr>
        <w:spacing w:before="1" w:line="220" w:lineRule="auto"/>
        <w:rPr>
          <w:rFonts w:hint="eastAsia" w:ascii="宋体" w:hAnsi="宋体" w:eastAsia="宋体" w:cs="宋体"/>
          <w:spacing w:val="-2"/>
          <w:sz w:val="21"/>
          <w:szCs w:val="21"/>
          <w:lang w:val="en-US" w:eastAsia="zh-CN"/>
        </w:rPr>
      </w:pPr>
    </w:p>
    <w:tbl>
      <w:tblPr>
        <w:tblStyle w:val="13"/>
        <w:tblW w:w="89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16"/>
        <w:gridCol w:w="69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6" w:type="dxa"/>
            <w:shd w:val="clear" w:color="auto" w:fill="BEBEBE"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日程</w:t>
            </w:r>
          </w:p>
        </w:tc>
        <w:tc>
          <w:tcPr>
            <w:tcW w:w="6995" w:type="dxa"/>
            <w:shd w:val="clear" w:color="auto" w:fill="BEBEBE" w:themeFill="background1" w:themeFillShade="BF"/>
          </w:tcPr>
          <w:p>
            <w:pPr>
              <w:widowControl w:val="0"/>
              <w:spacing w:before="1" w:line="220" w:lineRule="auto"/>
              <w:jc w:val="center"/>
              <w:rPr>
                <w:rFonts w:hint="default" w:ascii="宋体" w:hAnsi="宋体" w:eastAsia="宋体" w:cs="宋体"/>
                <w:b/>
                <w:bCs/>
                <w:spacing w:val="-2"/>
                <w:sz w:val="21"/>
                <w:szCs w:val="21"/>
                <w:vertAlign w:val="baseline"/>
                <w:lang w:val="en-US" w:eastAsia="zh-CN"/>
              </w:rPr>
            </w:pPr>
            <w:r>
              <w:rPr>
                <w:rFonts w:hint="eastAsia" w:ascii="宋体" w:hAnsi="宋体" w:cs="宋体"/>
                <w:b/>
                <w:bCs/>
                <w:spacing w:val="-2"/>
                <w:sz w:val="21"/>
                <w:szCs w:val="21"/>
                <w:vertAlign w:val="baseline"/>
                <w:lang w:val="en-US" w:eastAsia="zh-CN"/>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7月14日</w:t>
            </w:r>
          </w:p>
        </w:tc>
        <w:tc>
          <w:tcPr>
            <w:tcW w:w="6995" w:type="dxa"/>
            <w:vAlign w:val="top"/>
          </w:tcPr>
          <w:p>
            <w:pPr>
              <w:pStyle w:val="28"/>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抵达新加坡</w:t>
            </w:r>
          </w:p>
          <w:p>
            <w:pPr>
              <w:pStyle w:val="28"/>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Arrived in Singapore </w:t>
            </w:r>
          </w:p>
          <w:p>
            <w:pPr>
              <w:pStyle w:val="28"/>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破冰之旅</w:t>
            </w:r>
          </w:p>
          <w:p>
            <w:pPr>
              <w:pStyle w:val="28"/>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Ice-Breaker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1916"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7月15日</w:t>
            </w: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p>
        </w:tc>
        <w:tc>
          <w:tcPr>
            <w:tcW w:w="6995" w:type="dxa"/>
            <w:vAlign w:val="top"/>
          </w:tcPr>
          <w:p>
            <w:pPr>
              <w:pStyle w:val="28"/>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Introduction to Public policy and economic development</w:t>
            </w:r>
          </w:p>
          <w:p>
            <w:pPr>
              <w:pStyle w:val="28"/>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经济发展与公共政策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2" w:hRule="atLeast"/>
        </w:trPr>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7月16日</w:t>
            </w:r>
          </w:p>
        </w:tc>
        <w:tc>
          <w:tcPr>
            <w:tcW w:w="6995" w:type="dxa"/>
            <w:vAlign w:val="top"/>
          </w:tcPr>
          <w:p>
            <w:pPr>
              <w:pStyle w:val="28"/>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The public policy cycle: actors and challenges </w:t>
            </w:r>
          </w:p>
          <w:p>
            <w:pPr>
              <w:spacing w:line="360" w:lineRule="auto"/>
              <w:rPr>
                <w:rFonts w:hint="eastAsia" w:cs="Calibri" w:asciiTheme="minorHAnsi" w:hAnsiTheme="minorHAnsi"/>
                <w:szCs w:val="21"/>
                <w:lang w:val="en-US" w:eastAsia="zh-CN"/>
              </w:rPr>
            </w:pPr>
            <w:r>
              <w:rPr>
                <w:rFonts w:hint="eastAsia" w:cs="Calibri" w:asciiTheme="minorHAnsi" w:hAnsiTheme="minorHAnsi"/>
                <w:szCs w:val="21"/>
              </w:rPr>
              <w:t>公共政策周期：参与者和挑战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6"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7月17日</w:t>
            </w:r>
          </w:p>
        </w:tc>
        <w:tc>
          <w:tcPr>
            <w:tcW w:w="6995" w:type="dxa"/>
            <w:vAlign w:val="top"/>
          </w:tcPr>
          <w:p>
            <w:pPr>
              <w:spacing w:line="360" w:lineRule="auto"/>
              <w:rPr>
                <w:rFonts w:hint="eastAsia" w:cs="Calibri" w:asciiTheme="minorHAnsi" w:hAnsiTheme="minorHAnsi"/>
                <w:szCs w:val="21"/>
                <w:lang w:val="en-US" w:eastAsia="zh-CN"/>
              </w:rPr>
            </w:pPr>
            <w:r>
              <w:rPr>
                <w:rFonts w:hint="eastAsia" w:ascii="宋体" w:hAnsi="宋体" w:eastAsia="宋体" w:cs="宋体"/>
                <w:spacing w:val="-1"/>
                <w:sz w:val="21"/>
                <w:szCs w:val="21"/>
                <w:lang w:val="en-US" w:eastAsia="zh-CN"/>
              </w:rPr>
              <w:t>E</w:t>
            </w:r>
            <w:r>
              <w:rPr>
                <w:rFonts w:hint="eastAsia" w:cs="Calibri" w:asciiTheme="minorHAnsi" w:hAnsiTheme="minorHAnsi"/>
                <w:szCs w:val="21"/>
                <w:lang w:val="en-US" w:eastAsia="zh-CN"/>
              </w:rPr>
              <w:t>vidence-based decision making for public policy</w:t>
            </w:r>
          </w:p>
          <w:p>
            <w:pPr>
              <w:spacing w:line="360" w:lineRule="auto"/>
              <w:rPr>
                <w:rFonts w:hint="default" w:ascii="宋体" w:hAnsi="宋体" w:eastAsia="宋体" w:cs="宋体"/>
                <w:spacing w:val="-1"/>
                <w:sz w:val="21"/>
                <w:szCs w:val="21"/>
                <w:lang w:val="en-US" w:eastAsia="zh-CN"/>
              </w:rPr>
            </w:pPr>
            <w:r>
              <w:rPr>
                <w:rFonts w:hint="eastAsia" w:cs="Calibri" w:asciiTheme="minorHAnsi" w:hAnsiTheme="minorHAnsi"/>
                <w:szCs w:val="21"/>
              </w:rPr>
              <w:t>基于证据的公共政策决策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 w:hRule="atLeast"/>
        </w:trPr>
        <w:tc>
          <w:tcPr>
            <w:tcW w:w="1916" w:type="dxa"/>
          </w:tcPr>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7月18日</w:t>
            </w:r>
          </w:p>
        </w:tc>
        <w:tc>
          <w:tcPr>
            <w:tcW w:w="6995" w:type="dxa"/>
            <w:vAlign w:val="top"/>
          </w:tcPr>
          <w:p>
            <w:pPr>
              <w:pStyle w:val="28"/>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Field visits and cultural activities I</w:t>
            </w:r>
          </w:p>
          <w:p>
            <w:pPr>
              <w:pStyle w:val="28"/>
              <w:widowControl w:val="0"/>
              <w:spacing w:before="168" w:line="176" w:lineRule="auto"/>
              <w:jc w:val="left"/>
              <w:rPr>
                <w:rFonts w:hint="default" w:ascii="宋体" w:hAnsi="宋体" w:eastAsia="宋体" w:cs="宋体"/>
                <w:spacing w:val="-1"/>
                <w:sz w:val="21"/>
                <w:szCs w:val="21"/>
                <w:lang w:val="en-US" w:eastAsia="zh-CN"/>
              </w:rPr>
            </w:pPr>
            <w:r>
              <w:rPr>
                <w:rFonts w:hint="eastAsia" w:eastAsia="宋体" w:cs="Calibri" w:asciiTheme="minorHAnsi" w:hAnsiTheme="minorHAnsi"/>
                <w:kern w:val="2"/>
                <w:sz w:val="21"/>
                <w:szCs w:val="21"/>
                <w:lang w:val="en-US" w:eastAsia="zh-CN" w:bidi="ar-SA"/>
              </w:rPr>
              <w:t>实地考察和文化活动 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7月19日</w:t>
            </w:r>
          </w:p>
        </w:tc>
        <w:tc>
          <w:tcPr>
            <w:tcW w:w="6995" w:type="dxa"/>
            <w:vAlign w:val="top"/>
          </w:tcPr>
          <w:p>
            <w:pPr>
              <w:pStyle w:val="28"/>
              <w:widowControl w:val="0"/>
              <w:spacing w:before="168" w:line="176" w:lineRule="auto"/>
              <w:jc w:val="left"/>
              <w:rPr>
                <w:rFonts w:hint="default"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Field visits and cultural activities II</w:t>
            </w:r>
          </w:p>
          <w:p>
            <w:pPr>
              <w:pStyle w:val="28"/>
              <w:widowControl w:val="0"/>
              <w:spacing w:before="168" w:line="176" w:lineRule="auto"/>
              <w:jc w:val="left"/>
              <w:rPr>
                <w:rFonts w:hint="default"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实地考察和文化活动 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916" w:type="dxa"/>
          </w:tcPr>
          <w:p>
            <w:pPr>
              <w:pStyle w:val="28"/>
              <w:widowControl w:val="0"/>
              <w:spacing w:before="171" w:line="174" w:lineRule="auto"/>
              <w:ind w:firstLine="206" w:firstLineChars="1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7月20 &amp; 21日</w:t>
            </w:r>
          </w:p>
        </w:tc>
        <w:tc>
          <w:tcPr>
            <w:tcW w:w="6995" w:type="dxa"/>
            <w:vAlign w:val="top"/>
          </w:tcPr>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Weekend</w:t>
            </w:r>
          </w:p>
          <w:p>
            <w:pPr>
              <w:pStyle w:val="28"/>
              <w:widowControl w:val="0"/>
              <w:spacing w:before="168" w:line="176" w:lineRule="auto"/>
              <w:jc w:val="left"/>
              <w:rPr>
                <w:rFonts w:hint="default"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自由活动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7月22日</w:t>
            </w:r>
          </w:p>
        </w:tc>
        <w:tc>
          <w:tcPr>
            <w:tcW w:w="6995" w:type="dxa"/>
            <w:vAlign w:val="top"/>
          </w:tcPr>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Global trends and prospects for sustainable development (part 1)</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可持续发展的全球趋势和前景（第 1 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7月23日</w:t>
            </w:r>
          </w:p>
        </w:tc>
        <w:tc>
          <w:tcPr>
            <w:tcW w:w="6995" w:type="dxa"/>
            <w:vAlign w:val="top"/>
          </w:tcPr>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Global trends and prospects for sustainable development (part 2)</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可持续发展的全球趋势与前景（第 2 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7月24日</w:t>
            </w:r>
          </w:p>
        </w:tc>
        <w:tc>
          <w:tcPr>
            <w:tcW w:w="6995" w:type="dxa"/>
            <w:vAlign w:val="top"/>
          </w:tcPr>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Stakeholder engagement for sustainable development strategies</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利益相关者参与可持续发展战略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7月25日</w:t>
            </w:r>
          </w:p>
        </w:tc>
        <w:tc>
          <w:tcPr>
            <w:tcW w:w="6995" w:type="dxa"/>
            <w:vAlign w:val="top"/>
          </w:tcPr>
          <w:p>
            <w:pPr>
              <w:pStyle w:val="28"/>
              <w:widowControl w:val="0"/>
              <w:spacing w:before="168" w:line="176" w:lineRule="auto"/>
              <w:jc w:val="left"/>
              <w:rPr>
                <w:rFonts w:hint="default"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Field visits and cultural activities III</w:t>
            </w:r>
          </w:p>
          <w:p>
            <w:pPr>
              <w:pStyle w:val="28"/>
              <w:widowControl w:val="0"/>
              <w:spacing w:before="168" w:line="176" w:lineRule="auto"/>
              <w:jc w:val="left"/>
              <w:rPr>
                <w:rFonts w:hint="default"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实地考察和文化活动 III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eastAsia" w:ascii="宋体" w:hAnsi="宋体" w:eastAsia="宋体" w:cs="宋体"/>
                <w:spacing w:val="-2"/>
                <w:kern w:val="2"/>
                <w:sz w:val="21"/>
                <w:szCs w:val="21"/>
                <w:vertAlign w:val="baseline"/>
                <w:lang w:val="en-US" w:eastAsia="zh-CN" w:bidi="ar-SA"/>
              </w:rPr>
            </w:pPr>
          </w:p>
          <w:p>
            <w:pPr>
              <w:pStyle w:val="28"/>
              <w:widowControl w:val="0"/>
              <w:spacing w:before="171" w:line="174" w:lineRule="auto"/>
              <w:ind w:firstLine="412" w:firstLineChars="200"/>
              <w:jc w:val="left"/>
              <w:rPr>
                <w:rFonts w:hint="eastAsia" w:ascii="宋体" w:hAnsi="宋体" w:eastAsia="宋体" w:cs="宋体"/>
                <w:spacing w:val="-2"/>
                <w:kern w:val="2"/>
                <w:sz w:val="21"/>
                <w:szCs w:val="21"/>
                <w:vertAlign w:val="baseline"/>
                <w:lang w:val="en-US" w:eastAsia="zh-CN" w:bidi="ar-SA"/>
              </w:rPr>
            </w:pPr>
          </w:p>
          <w:p>
            <w:pPr>
              <w:pStyle w:val="28"/>
              <w:widowControl w:val="0"/>
              <w:spacing w:before="171" w:line="174" w:lineRule="auto"/>
              <w:ind w:firstLine="412" w:firstLineChars="200"/>
              <w:jc w:val="left"/>
              <w:rPr>
                <w:rFonts w:hint="eastAsia" w:ascii="宋体" w:hAnsi="宋体" w:eastAsia="宋体" w:cs="宋体"/>
                <w:spacing w:val="-2"/>
                <w:kern w:val="2"/>
                <w:sz w:val="21"/>
                <w:szCs w:val="21"/>
                <w:vertAlign w:val="baseline"/>
                <w:lang w:val="en-US" w:eastAsia="zh-CN" w:bidi="ar-SA"/>
              </w:rPr>
            </w:pPr>
          </w:p>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7月26日</w:t>
            </w:r>
          </w:p>
        </w:tc>
        <w:tc>
          <w:tcPr>
            <w:tcW w:w="6995" w:type="dxa"/>
            <w:vAlign w:val="top"/>
          </w:tcPr>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Project Presentation &amp; Closing Remarks</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访学汇报与结业典礼</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 xml:space="preserve">小组项目展示 </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Opportunities for International Teachers</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 xml:space="preserve">Group1/2/3/4/5... </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End of the Final Presentation -Announcement of Winning Team Certification</w:t>
            </w:r>
          </w:p>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 xml:space="preserve">项目结业仪式&amp;优胜小组证书颁发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916" w:type="dxa"/>
          </w:tcPr>
          <w:p>
            <w:pPr>
              <w:pStyle w:val="28"/>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7月27日</w:t>
            </w:r>
          </w:p>
        </w:tc>
        <w:tc>
          <w:tcPr>
            <w:tcW w:w="6995" w:type="dxa"/>
            <w:vAlign w:val="top"/>
          </w:tcPr>
          <w:p>
            <w:pPr>
              <w:pStyle w:val="28"/>
              <w:widowControl w:val="0"/>
              <w:spacing w:before="168" w:line="176" w:lineRule="auto"/>
              <w:jc w:val="left"/>
              <w:rPr>
                <w:rFonts w:hint="eastAsia"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Back to China :)</w:t>
            </w:r>
          </w:p>
          <w:p>
            <w:pPr>
              <w:pStyle w:val="28"/>
              <w:widowControl w:val="0"/>
              <w:spacing w:before="168" w:line="176" w:lineRule="auto"/>
              <w:jc w:val="left"/>
              <w:rPr>
                <w:rFonts w:hint="default" w:eastAsia="宋体" w:cs="Calibri" w:asciiTheme="minorHAnsi" w:hAnsiTheme="minorHAnsi"/>
                <w:kern w:val="2"/>
                <w:sz w:val="21"/>
                <w:szCs w:val="21"/>
                <w:lang w:val="en-US" w:eastAsia="zh-CN" w:bidi="ar-SA"/>
              </w:rPr>
            </w:pPr>
            <w:r>
              <w:rPr>
                <w:rFonts w:hint="eastAsia" w:eastAsia="宋体" w:cs="Calibri" w:asciiTheme="minorHAnsi" w:hAnsiTheme="minorHAnsi"/>
                <w:kern w:val="2"/>
                <w:sz w:val="21"/>
                <w:szCs w:val="21"/>
                <w:lang w:val="en-US" w:eastAsia="zh-CN" w:bidi="ar-SA"/>
              </w:rPr>
              <w:t>返回国内</w:t>
            </w:r>
          </w:p>
        </w:tc>
      </w:tr>
    </w:tbl>
    <w:p>
      <w:pPr>
        <w:pStyle w:val="26"/>
        <w:spacing w:line="380" w:lineRule="exact"/>
        <w:rPr>
          <w:rFonts w:hint="eastAsia" w:asciiTheme="minorEastAsia" w:hAnsiTheme="minorEastAsia" w:eastAsiaTheme="minorEastAsia"/>
          <w:b/>
          <w:bCs/>
          <w:color w:val="auto"/>
          <w:sz w:val="18"/>
          <w:szCs w:val="18"/>
          <w:u w:val="single"/>
        </w:rPr>
      </w:pPr>
    </w:p>
    <w:p>
      <w:pPr>
        <w:pStyle w:val="26"/>
        <w:spacing w:line="380" w:lineRule="exact"/>
        <w:rPr>
          <w:rFonts w:asciiTheme="minorEastAsia" w:hAnsiTheme="minorEastAsia" w:eastAsiaTheme="minorEastAsia"/>
          <w:b/>
          <w:bCs/>
          <w:color w:val="auto"/>
          <w:sz w:val="18"/>
          <w:szCs w:val="18"/>
          <w:u w:val="single"/>
        </w:rPr>
      </w:pPr>
      <w:r>
        <w:rPr>
          <w:rFonts w:hint="eastAsia" w:asciiTheme="minorEastAsia" w:hAnsiTheme="minorEastAsia" w:eastAsiaTheme="minorEastAsia"/>
          <w:b/>
          <w:bCs/>
          <w:color w:val="auto"/>
          <w:sz w:val="18"/>
          <w:szCs w:val="18"/>
          <w:u w:val="single"/>
        </w:rPr>
        <w:t>(注：以上行程安排仅为参考，实际行程安排以最终</w:t>
      </w:r>
      <w:r>
        <w:rPr>
          <w:rFonts w:hint="eastAsia" w:asciiTheme="minorEastAsia" w:hAnsiTheme="minorEastAsia" w:eastAsiaTheme="minorEastAsia"/>
          <w:b/>
          <w:bCs/>
          <w:color w:val="auto"/>
          <w:sz w:val="18"/>
          <w:szCs w:val="18"/>
          <w:u w:val="single"/>
          <w:lang w:val="en-US" w:eastAsia="zh-CN"/>
        </w:rPr>
        <w:t>国立</w:t>
      </w:r>
      <w:r>
        <w:rPr>
          <w:rFonts w:hint="eastAsia" w:asciiTheme="minorEastAsia" w:hAnsiTheme="minorEastAsia" w:eastAsiaTheme="minorEastAsia"/>
          <w:b/>
          <w:bCs/>
          <w:color w:val="auto"/>
          <w:sz w:val="18"/>
          <w:szCs w:val="18"/>
          <w:u w:val="single"/>
        </w:rPr>
        <w:t>校方出具的行程为准)</w:t>
      </w:r>
    </w:p>
    <w:p>
      <w:pPr>
        <w:spacing w:line="360" w:lineRule="auto"/>
        <w:rPr>
          <w:rFonts w:hint="default" w:eastAsia="宋体" w:cs="Calibri" w:asciiTheme="minorHAnsi" w:hAnsiTheme="minorHAnsi"/>
          <w:szCs w:val="21"/>
          <w:lang w:val="en-US" w:eastAsia="zh-CN"/>
        </w:rPr>
      </w:pPr>
    </w:p>
    <w:p>
      <w:pPr>
        <w:spacing w:line="360" w:lineRule="auto"/>
        <w:rPr>
          <w:rFonts w:hint="default" w:eastAsia="宋体" w:cs="Calibri" w:asciiTheme="minorHAnsi" w:hAnsiTheme="minorHAnsi"/>
          <w:szCs w:val="21"/>
          <w:lang w:val="en-US" w:eastAsia="zh-CN"/>
        </w:rPr>
      </w:pPr>
    </w:p>
    <w:bookmarkEnd w:id="1"/>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30"/>
        <w:rPr>
          <w:rFonts w:hint="eastAsia" w:cs="Calibri" w:asciiTheme="minorHAnsi" w:hAnsiTheme="minorHAnsi"/>
          <w:kern w:val="0"/>
          <w:sz w:val="22"/>
        </w:rPr>
      </w:pPr>
      <w:r>
        <w:rPr>
          <w:rFonts w:hint="eastAsia" w:cs="Calibri" w:asciiTheme="minorHAnsi" w:hAnsiTheme="minorHAnsi"/>
          <w:szCs w:val="21"/>
          <w:lang w:val="en-US" w:eastAsia="zh-CN"/>
        </w:rPr>
        <w:t>报名成功的学员将收到新加坡国立大学主办部门签发的邀请函。 顺利完成本课程并通过结业的学员，将获得由新加坡国立大学主办部门官方颁发的结业证书，优胜小组成员还将额外获得推荐信，即优秀学员证明。</w:t>
      </w:r>
      <w:r>
        <w:rPr>
          <w:rFonts w:hint="eastAsia" w:cs="Calibri" w:asciiTheme="minorHAnsi" w:hAnsiTheme="minorHAnsi"/>
          <w:kern w:val="0"/>
          <w:sz w:val="22"/>
        </w:rPr>
        <w:t xml:space="preserve"> </w:t>
      </w:r>
    </w:p>
    <w:p>
      <w:pPr>
        <w:spacing w:line="360" w:lineRule="auto"/>
        <w:ind w:firstLine="430"/>
        <w:rPr>
          <w:rFonts w:hint="eastAsia" w:cs="Calibri" w:asciiTheme="minorHAnsi" w:hAnsiTheme="minorHAnsi"/>
          <w:kern w:val="0"/>
          <w:sz w:val="22"/>
        </w:rPr>
      </w:pPr>
    </w:p>
    <w:p>
      <w:pPr>
        <w:spacing w:line="360" w:lineRule="auto"/>
        <w:ind w:firstLine="430"/>
        <w:rPr>
          <w:rFonts w:hint="eastAsia" w:cs="Calibri" w:asciiTheme="minorHAnsi" w:hAnsiTheme="minorHAnsi"/>
          <w:szCs w:val="21"/>
          <w:lang w:val="en-US" w:eastAsia="zh-CN"/>
        </w:rPr>
      </w:pPr>
      <w:r>
        <w:rPr>
          <w:rFonts w:hint="eastAsia" w:cs="Calibri" w:asciiTheme="minorHAnsi" w:hAnsiTheme="minorHAnsi"/>
          <w:szCs w:val="21"/>
          <w:lang w:val="en-US" w:eastAsia="zh-CN"/>
        </w:rPr>
        <w:t>Students who successfully completed the programme subject to meeting minimum 85% attendance rate and passing all assessments will receive (i) an electronic certificate issued by NUS Lee Kuan Yew School of Public Policy and (ii) electronic assessment report (also known as result slip showing final grade obtained).  Best project team will receive a commendation letter in addition to (i) and (ii).</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p>
      <w:pPr>
        <w:widowControl/>
        <w:spacing w:line="360" w:lineRule="auto"/>
        <w:jc w:val="left"/>
        <w:rPr>
          <w:rFonts w:cs="Calibri" w:asciiTheme="minorHAnsi" w:hAnsiTheme="minorHAnsi"/>
          <w:szCs w:val="21"/>
        </w:rPr>
      </w:pPr>
    </w:p>
    <w:tbl>
      <w:tblPr>
        <w:tblStyle w:val="1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pPr>
              <w:spacing w:line="360" w:lineRule="auto"/>
              <w:rPr>
                <w:rFonts w:hint="eastAsia" w:asciiTheme="minorHAnsi" w:hAnsiTheme="minorHAnsi" w:eastAsiaTheme="majorEastAsia" w:cstheme="minorHAnsi"/>
                <w:szCs w:val="21"/>
                <w:lang w:eastAsia="zh-CN"/>
              </w:rPr>
            </w:pPr>
            <w:r>
              <w:rPr>
                <w:rFonts w:hint="eastAsia" w:asciiTheme="minorHAnsi" w:hAnsiTheme="minorHAnsi" w:eastAsiaTheme="majorEastAsia" w:cstheme="minorHAnsi"/>
                <w:szCs w:val="21"/>
              </w:rPr>
              <w:t>约</w:t>
            </w:r>
            <w:r>
              <w:rPr>
                <w:rFonts w:hint="eastAsia" w:asciiTheme="minorHAnsi" w:hAnsiTheme="minorHAnsi" w:eastAsiaTheme="majorEastAsia" w:cstheme="minorHAnsi"/>
                <w:szCs w:val="21"/>
                <w:lang w:val="en-US" w:eastAsia="zh-CN"/>
              </w:rPr>
              <w:t>合</w:t>
            </w:r>
            <w:r>
              <w:rPr>
                <w:rFonts w:hint="eastAsia" w:asciiTheme="minorHAnsi" w:hAnsiTheme="minorHAnsi" w:eastAsiaTheme="majorEastAsia" w:cstheme="minorHAnsi"/>
                <w:szCs w:val="21"/>
              </w:rPr>
              <w:t>人民币</w:t>
            </w:r>
            <w:r>
              <w:rPr>
                <w:rFonts w:hint="eastAsia" w:asciiTheme="minorHAnsi" w:hAnsiTheme="minorHAnsi" w:eastAsiaTheme="majorEastAsia" w:cstheme="minorHAnsi"/>
                <w:szCs w:val="21"/>
                <w:lang w:val="en-US" w:eastAsia="zh-CN"/>
              </w:rPr>
              <w:t>19800</w:t>
            </w:r>
            <w:r>
              <w:rPr>
                <w:rFonts w:hint="eastAsia" w:asciiTheme="minorHAnsi" w:hAnsiTheme="minorHAnsi" w:eastAsiaTheme="majorEastAsia" w:cstheme="minorHAnsi"/>
                <w:szCs w:val="21"/>
              </w:rPr>
              <w:t>元</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35人成团</w:t>
            </w:r>
            <w:r>
              <w:rPr>
                <w:rFonts w:hint="eastAsia" w:asciiTheme="minorHAnsi" w:hAnsiTheme="minorHAnsi" w:eastAsiaTheme="majorEastAsia" w:cstheme="minorHAnsi"/>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学费、杂费、课程设计与开发、</w:t>
            </w:r>
            <w:r>
              <w:rPr>
                <w:rFonts w:hint="eastAsia" w:asciiTheme="minorHAnsi" w:hAnsiTheme="minorHAnsi" w:eastAsiaTheme="majorEastAsia" w:cstheme="minorHAnsi"/>
                <w:szCs w:val="21"/>
                <w:lang w:val="en-US" w:eastAsia="zh-CN"/>
              </w:rPr>
              <w:t>实地考察与文化活动及期间交通费</w:t>
            </w:r>
            <w:r>
              <w:rPr>
                <w:rFonts w:hint="eastAsia" w:asciiTheme="minorHAnsi" w:hAnsiTheme="minorHAnsi" w:eastAsiaTheme="majorEastAsia" w:cstheme="minorHAnsi"/>
                <w:szCs w:val="21"/>
              </w:rPr>
              <w:t xml:space="preserve">、教材、NUS Canvas </w:t>
            </w:r>
            <w:r>
              <w:rPr>
                <w:rFonts w:hint="eastAsia" w:asciiTheme="minorHAnsi" w:hAnsiTheme="minorHAnsi" w:eastAsiaTheme="majorEastAsia" w:cstheme="minorHAnsi"/>
                <w:szCs w:val="21"/>
                <w:lang w:val="en-US" w:eastAsia="zh-CN"/>
              </w:rPr>
              <w:t>使用费</w:t>
            </w:r>
            <w:r>
              <w:rPr>
                <w:rFonts w:hint="eastAsia" w:asciiTheme="minorHAnsi" w:hAnsiTheme="minorHAnsi" w:eastAsiaTheme="majorEastAsia" w:cstheme="minorHAnsi"/>
                <w:szCs w:val="21"/>
              </w:rPr>
              <w:t>用、</w:t>
            </w:r>
            <w:r>
              <w:rPr>
                <w:rFonts w:hint="eastAsia" w:asciiTheme="minorHAnsi" w:hAnsiTheme="minorHAnsi" w:eastAsiaTheme="majorEastAsia" w:cstheme="minorHAnsi"/>
                <w:szCs w:val="21"/>
                <w:lang w:val="en-US" w:eastAsia="zh-CN"/>
              </w:rPr>
              <w:t>学生名牌及文具</w:t>
            </w:r>
            <w:r>
              <w:rPr>
                <w:rFonts w:hint="eastAsia" w:asciiTheme="minorHAnsi" w:hAnsiTheme="minorHAnsi" w:eastAsiaTheme="majorEastAsia" w:cstheme="minorHAnsi"/>
                <w:szCs w:val="21"/>
              </w:rPr>
              <w:t>、医疗与意外险</w:t>
            </w:r>
            <w:r>
              <w:rPr>
                <w:rFonts w:hint="eastAsia" w:asciiTheme="minorHAnsi" w:hAnsiTheme="minorHAnsi" w:eastAsiaTheme="majorEastAsia" w:cstheme="minorHAnsi"/>
                <w:szCs w:val="21"/>
                <w:lang w:eastAsia="zh-CN"/>
              </w:rPr>
              <w:t>、</w:t>
            </w:r>
            <w:r>
              <w:rPr>
                <w:rFonts w:hint="eastAsia" w:asciiTheme="minorHAnsi" w:hAnsiTheme="minorHAnsi" w:eastAsiaTheme="majorEastAsia" w:cstheme="minorHAnsi"/>
                <w:szCs w:val="21"/>
                <w:lang w:val="en-US" w:eastAsia="zh-CN"/>
              </w:rPr>
              <w:t>接机等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pPr>
              <w:spacing w:line="360" w:lineRule="auto"/>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机票、餐饮、</w:t>
            </w:r>
            <w:r>
              <w:rPr>
                <w:rFonts w:hint="eastAsia" w:asciiTheme="minorHAnsi" w:hAnsiTheme="minorHAnsi" w:eastAsiaTheme="majorEastAsia" w:cstheme="minorHAnsi"/>
                <w:szCs w:val="21"/>
                <w:lang w:val="en-US" w:eastAsia="zh-CN"/>
              </w:rPr>
              <w:t>住宿</w:t>
            </w:r>
            <w:r>
              <w:rPr>
                <w:rFonts w:hint="eastAsia" w:asciiTheme="minorHAnsi" w:hAnsiTheme="minorHAnsi" w:eastAsiaTheme="majorEastAsia" w:cstheme="minorHAnsi"/>
                <w:szCs w:val="21"/>
              </w:rPr>
              <w:t>、签证</w:t>
            </w:r>
          </w:p>
        </w:tc>
      </w:tr>
      <w:bookmarkEnd w:id="2"/>
    </w:tbl>
    <w:p>
      <w:pPr>
        <w:spacing w:line="360" w:lineRule="auto"/>
        <w:rPr>
          <w:rFonts w:hint="eastAsia" w:asciiTheme="minorHAnsi" w:hAnsiTheme="minorHAnsi" w:eastAsiaTheme="majorEastAsia" w:cstheme="minorHAnsi"/>
          <w:b/>
          <w:bCs/>
          <w:kern w:val="0"/>
          <w:szCs w:val="21"/>
        </w:rPr>
      </w:pPr>
    </w:p>
    <w:p>
      <w:pPr>
        <w:numPr>
          <w:ilvl w:val="0"/>
          <w:numId w:val="2"/>
        </w:numPr>
        <w:spacing w:line="360" w:lineRule="auto"/>
        <w:rPr>
          <w:rFonts w:hint="eastAsia"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项目申请</w:t>
      </w:r>
    </w:p>
    <w:p>
      <w:pPr>
        <w:numPr>
          <w:ilvl w:val="0"/>
          <w:numId w:val="0"/>
        </w:numPr>
        <w:spacing w:line="360" w:lineRule="auto"/>
        <w:rPr>
          <w:rFonts w:hint="eastAsia" w:asciiTheme="minorHAnsi" w:hAnsiTheme="minorHAnsi" w:eastAsiaTheme="majorEastAsia" w:cstheme="minorHAnsi"/>
          <w:b/>
          <w:bCs/>
          <w:kern w:val="0"/>
          <w:szCs w:val="21"/>
        </w:rPr>
      </w:pPr>
    </w:p>
    <w:p>
      <w:pPr>
        <w:pStyle w:val="22"/>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kern w:val="0"/>
          <w:szCs w:val="21"/>
        </w:rPr>
        <w:t>无需托福雅思成绩，</w:t>
      </w:r>
      <w:r>
        <w:rPr>
          <w:rFonts w:hint="default" w:asciiTheme="minorHAnsi" w:hAnsiTheme="minorHAnsi" w:eastAsiaTheme="majorEastAsia" w:cstheme="minorHAnsi"/>
          <w:kern w:val="0"/>
          <w:szCs w:val="21"/>
        </w:rPr>
        <w:t>四级470/六级450/专四65/多邻国90/高考110</w:t>
      </w:r>
      <w:bookmarkStart w:id="3" w:name="_GoBack"/>
      <w:bookmarkEnd w:id="3"/>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eastAsia="zh-CN"/>
        </w:rPr>
        <w:t>；</w:t>
      </w:r>
    </w:p>
    <w:p>
      <w:pPr>
        <w:pStyle w:val="22"/>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7"/>
          <w:rFonts w:hint="eastAsia" w:asciiTheme="minorHAnsi" w:hAnsiTheme="minorHAnsi" w:eastAsiaTheme="majorEastAsia" w:cstheme="minorHAnsi"/>
          <w:szCs w:val="21"/>
        </w:rPr>
        <w:t>www.usiea.org</w:t>
      </w:r>
      <w:r>
        <w:rPr>
          <w:rStyle w:val="17"/>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2"/>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lang w:val="en-US" w:eastAsia="zh-CN"/>
        </w:rPr>
        <w:t>建议</w:t>
      </w:r>
      <w:r>
        <w:rPr>
          <w:rFonts w:hint="eastAsia" w:asciiTheme="minorHAnsi" w:hAnsiTheme="minorHAnsi" w:eastAsiaTheme="majorEastAsia" w:cstheme="minorHAnsi"/>
          <w:b/>
          <w:kern w:val="0"/>
          <w:szCs w:val="21"/>
        </w:rPr>
        <w:t>截止日期：</w:t>
      </w:r>
      <w:r>
        <w:rPr>
          <w:rFonts w:hint="eastAsia" w:asciiTheme="minorHAnsi" w:hAnsiTheme="minorHAnsi" w:eastAsiaTheme="majorEastAsia" w:cstheme="minorHAnsi"/>
          <w:kern w:val="0"/>
          <w:szCs w:val="21"/>
          <w:lang w:val="en-US" w:eastAsia="zh-CN"/>
        </w:rPr>
        <w:t>2024年5月14日</w:t>
      </w:r>
    </w:p>
    <w:p>
      <w:pPr>
        <w:spacing w:line="360" w:lineRule="auto"/>
        <w:rPr>
          <w:rFonts w:hint="default" w:asciiTheme="minorHAnsi" w:hAnsiTheme="minorHAnsi" w:eastAsiaTheme="majorEastAsia" w:cstheme="minorHAnsi"/>
          <w:szCs w:val="21"/>
          <w:u w:val="single"/>
          <w:lang w:val="en-US"/>
        </w:rPr>
      </w:pPr>
      <w:r>
        <w:rPr>
          <w:rFonts w:hint="eastAsia" w:asciiTheme="minorHAnsi" w:hAnsiTheme="minorHAnsi" w:eastAsiaTheme="majorEastAsia" w:cstheme="minorHAnsi"/>
          <w:szCs w:val="21"/>
          <w:u w:val="single"/>
          <w:lang w:val="en-US" w:eastAsia="zh-CN"/>
        </w:rPr>
        <w:t xml:space="preserve">                                                                                         </w:t>
      </w:r>
    </w:p>
    <w:p>
      <w:pPr>
        <w:widowControl/>
        <w:jc w:val="left"/>
        <w:rPr>
          <w:rFonts w:cs="宋体" w:asciiTheme="minorHAnsi" w:hAnsiTheme="minorHAnsi"/>
          <w:kern w:val="0"/>
          <w:sz w:val="20"/>
          <w:szCs w:val="21"/>
          <w:u w:val="none"/>
        </w:rPr>
      </w:pP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www.usiea.org </w:t>
      </w:r>
    </w:p>
    <w:p>
      <w:pPr>
        <w:spacing w:line="360" w:lineRule="auto"/>
        <w:rPr>
          <w:rFonts w:hint="default" w:ascii="Calibri" w:hAnsi="Calibri" w:eastAsia="宋体" w:cs="Calibri"/>
          <w:sz w:val="22"/>
          <w:szCs w:val="22"/>
          <w:lang w:val="en-US" w:eastAsia="zh-CN"/>
        </w:rPr>
      </w:pPr>
      <w:r>
        <w:rPr>
          <w:rFonts w:hint="eastAsia" w:asciiTheme="minorHAnsi" w:hAnsiTheme="minorHAnsi" w:eastAsiaTheme="majorEastAsia" w:cstheme="minorHAnsi"/>
          <w:szCs w:val="21"/>
        </w:rPr>
        <w:t>项目邮箱咨询：</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begin"/>
      </w:r>
      <w:r>
        <w:rPr>
          <w:rFonts w:hint="eastAsia" w:asciiTheme="minorHAnsi" w:hAnsiTheme="minorHAnsi" w:eastAsiaTheme="majorEastAsia" w:cstheme="minorHAnsi"/>
          <w:color w:val="4F81BD" w:themeColor="accent1"/>
          <w:szCs w:val="21"/>
          <w14:textFill>
            <w14:solidFill>
              <w14:schemeClr w14:val="accent1"/>
            </w14:solidFill>
          </w14:textFill>
        </w:rPr>
        <w:instrText xml:space="preserve"> HYPERLINK "mailto:visit_usyd@yeah.net" </w:instrText>
      </w:r>
      <w:r>
        <w:rPr>
          <w:rFonts w:hint="eastAsia" w:asciiTheme="minorHAnsi" w:hAnsiTheme="minorHAnsi" w:eastAsiaTheme="majorEastAsia" w:cstheme="minorHAnsi"/>
          <w:color w:val="4F81BD" w:themeColor="accent1"/>
          <w:szCs w:val="21"/>
          <w14:textFill>
            <w14:solidFill>
              <w14:schemeClr w14:val="accent1"/>
            </w14:solidFill>
          </w14:textFill>
        </w:rP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nus</w:t>
      </w:r>
      <w:r>
        <w:rPr>
          <w:rFonts w:hint="eastAsia" w:asciiTheme="minorHAnsi" w:hAnsiTheme="minorHAnsi" w:eastAsiaTheme="majorEastAsia" w:cstheme="minorHAnsi"/>
          <w:color w:val="4F81BD" w:themeColor="accent1"/>
          <w:szCs w:val="21"/>
          <w14:textFill>
            <w14:solidFill>
              <w14:schemeClr w14:val="accent1"/>
            </w14:solidFill>
          </w14:textFill>
        </w:rPr>
        <w:t>@yeah.net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AFF" w:usb1="C0007841" w:usb2="00000009" w:usb3="00000000" w:csb0="400001FF" w:csb1="FFFF0000"/>
  </w:font>
  <w:font w:name="宋体">
    <w:altName w:val="汉仪书宋二KW"/>
    <w:panose1 w:val="00000000000000000000"/>
    <w:charset w:val="00"/>
    <w:family w:val="auto"/>
    <w:pitch w:val="default"/>
    <w:sig w:usb0="00000000" w:usb1="00000000" w:usb2="00000000" w:usb3="00000000" w:csb0="00000000" w:csb1="00000000"/>
  </w:font>
  <w:font w:name="Wingdings">
    <w:altName w:val="Kingsoft Confetti"/>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altName w:val="Kingsoft Sign"/>
    <w:panose1 w:val="05050102010706020507"/>
    <w:charset w:val="02"/>
    <w:family w:val="roman"/>
    <w:pitch w:val="default"/>
    <w:sig w:usb0="00000000" w:usb1="00000000" w:usb2="00000000" w:usb3="00000000" w:csb0="80000000" w:csb1="00000000"/>
  </w:font>
  <w:font w:name="Calibri">
    <w:altName w:val="Arial"/>
    <w:panose1 w:val="020F0502020204030204"/>
    <w:charset w:val="00"/>
    <w:family w:val="swiss"/>
    <w:pitch w:val="default"/>
    <w:sig w:usb0="00000000" w:usb1="00000000" w:usb2="00000001" w:usb3="00000000" w:csb0="0000019F" w:csb1="00000000"/>
  </w:font>
  <w:font w:name="Arial">
    <w:panose1 w:val="020B0604020202020204"/>
    <w:charset w:val="00"/>
    <w:family w:val="auto"/>
    <w:pitch w:val="default"/>
    <w:sig w:usb0="E0002AFF" w:usb1="C0007843" w:usb2="00000009" w:usb3="00000000" w:csb0="400001FF" w:csb1="FFFF0000"/>
  </w:font>
  <w:font w:name="汉仪书宋二KW">
    <w:panose1 w:val="00020600040101010101"/>
    <w:charset w:val="86"/>
    <w:family w:val="auto"/>
    <w:pitch w:val="default"/>
    <w:sig w:usb0="A00002BF" w:usb1="18EF7CFA" w:usb2="00000016" w:usb3="00000000" w:csb0="00040000" w:csb1="00000000"/>
  </w:font>
  <w:font w:name="Kingsoft Confetti">
    <w:panose1 w:val="05000100010000000000"/>
    <w:charset w:val="00"/>
    <w:family w:val="auto"/>
    <w:pitch w:val="default"/>
    <w:sig w:usb0="00000000" w:usb1="00000000" w:usb2="00000000" w:usb3="00000000" w:csb0="8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00000000" w:usb2="00000000" w:usb3="00000000" w:csb0="80000000" w:csb1="00000000"/>
  </w:font>
  <w:font w:name="微软雅黑">
    <w:altName w:val="汉仪旗黑KW 55S"/>
    <w:panose1 w:val="020B0503020204020204"/>
    <w:charset w:val="86"/>
    <w:family w:val="swiss"/>
    <w:pitch w:val="default"/>
    <w:sig w:usb0="00000000" w:usb1="00000000" w:usb2="00000016" w:usb3="00000000" w:csb0="0004001F" w:csb1="00000000"/>
  </w:font>
  <w:font w:name="汉仪旗黑KW 55S">
    <w:panose1 w:val="00020600040101010101"/>
    <w:charset w:val="86"/>
    <w:family w:val="auto"/>
    <w:pitch w:val="default"/>
    <w:sig w:usb0="A00002BF" w:usb1="3ACF7CFA" w:usb2="00000016" w:usb3="00000000" w:csb0="0004009F" w:csb1="DFD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59264"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1">
    <w:nsid w:val="5DFFB5AF"/>
    <w:multiLevelType w:val="singleLevel"/>
    <w:tmpl w:val="5DFFB5AF"/>
    <w:lvl w:ilvl="0" w:tentative="0">
      <w:start w:val="5"/>
      <w:numFmt w:val="chineseCounting"/>
      <w:suff w:val="nothing"/>
      <w:lvlText w:val="%1、"/>
      <w:lvlJc w:val="left"/>
      <w:rPr>
        <w:rFonts w:hint="eastAsia"/>
      </w:rPr>
    </w:lvl>
  </w:abstractNum>
  <w:abstractNum w:abstractNumId="2">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6C07"/>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25A3D59"/>
    <w:rsid w:val="02A7794B"/>
    <w:rsid w:val="035756EB"/>
    <w:rsid w:val="0365642C"/>
    <w:rsid w:val="03F50025"/>
    <w:rsid w:val="052678D2"/>
    <w:rsid w:val="05F3327E"/>
    <w:rsid w:val="06DF3581"/>
    <w:rsid w:val="081C1045"/>
    <w:rsid w:val="09942CFE"/>
    <w:rsid w:val="0B081D22"/>
    <w:rsid w:val="0CD410C8"/>
    <w:rsid w:val="0D7E0753"/>
    <w:rsid w:val="0F54544C"/>
    <w:rsid w:val="0FF53A7F"/>
    <w:rsid w:val="10D27A7E"/>
    <w:rsid w:val="1170576E"/>
    <w:rsid w:val="12EF32F4"/>
    <w:rsid w:val="141E1656"/>
    <w:rsid w:val="1633660B"/>
    <w:rsid w:val="16F349C8"/>
    <w:rsid w:val="182C352A"/>
    <w:rsid w:val="19E0690A"/>
    <w:rsid w:val="1A850214"/>
    <w:rsid w:val="1B237141"/>
    <w:rsid w:val="1C5D01D3"/>
    <w:rsid w:val="1D2B6DAD"/>
    <w:rsid w:val="1D4E2CAF"/>
    <w:rsid w:val="1DD30ECA"/>
    <w:rsid w:val="1F355F6A"/>
    <w:rsid w:val="215E19DD"/>
    <w:rsid w:val="21643BFE"/>
    <w:rsid w:val="21F539D5"/>
    <w:rsid w:val="23AB62D5"/>
    <w:rsid w:val="23DD59D7"/>
    <w:rsid w:val="245F0FC8"/>
    <w:rsid w:val="24776664"/>
    <w:rsid w:val="259671F9"/>
    <w:rsid w:val="27201032"/>
    <w:rsid w:val="27C61B43"/>
    <w:rsid w:val="298E1762"/>
    <w:rsid w:val="29BD6E35"/>
    <w:rsid w:val="2B62521D"/>
    <w:rsid w:val="2D28660D"/>
    <w:rsid w:val="2E9F27F8"/>
    <w:rsid w:val="2F0958AB"/>
    <w:rsid w:val="335C2374"/>
    <w:rsid w:val="33787F55"/>
    <w:rsid w:val="33C148CD"/>
    <w:rsid w:val="345011CA"/>
    <w:rsid w:val="36193484"/>
    <w:rsid w:val="36363A93"/>
    <w:rsid w:val="364A2160"/>
    <w:rsid w:val="3A2E68EE"/>
    <w:rsid w:val="3C91192E"/>
    <w:rsid w:val="3E223BB7"/>
    <w:rsid w:val="3EDC341C"/>
    <w:rsid w:val="3F7B60DD"/>
    <w:rsid w:val="408C61B1"/>
    <w:rsid w:val="4148218A"/>
    <w:rsid w:val="42836989"/>
    <w:rsid w:val="42B85153"/>
    <w:rsid w:val="433B0AA7"/>
    <w:rsid w:val="455C39C2"/>
    <w:rsid w:val="46E44E71"/>
    <w:rsid w:val="47524326"/>
    <w:rsid w:val="4794153F"/>
    <w:rsid w:val="49D255C4"/>
    <w:rsid w:val="51B24B0E"/>
    <w:rsid w:val="51FD57A1"/>
    <w:rsid w:val="52563AF9"/>
    <w:rsid w:val="52AE775C"/>
    <w:rsid w:val="531D5B22"/>
    <w:rsid w:val="538F119C"/>
    <w:rsid w:val="53AC58A5"/>
    <w:rsid w:val="55C74D2F"/>
    <w:rsid w:val="572E32B3"/>
    <w:rsid w:val="5AAC53F5"/>
    <w:rsid w:val="5C0A1E9A"/>
    <w:rsid w:val="5C593EAF"/>
    <w:rsid w:val="5D63417B"/>
    <w:rsid w:val="60C76A50"/>
    <w:rsid w:val="60FE76C2"/>
    <w:rsid w:val="634E1302"/>
    <w:rsid w:val="646E0AD0"/>
    <w:rsid w:val="64DC4668"/>
    <w:rsid w:val="68FE630D"/>
    <w:rsid w:val="69540864"/>
    <w:rsid w:val="69B54F45"/>
    <w:rsid w:val="6AED6BFB"/>
    <w:rsid w:val="6CFC2298"/>
    <w:rsid w:val="6E001286"/>
    <w:rsid w:val="6FDE3B11"/>
    <w:rsid w:val="6FF84353"/>
    <w:rsid w:val="6FFB92A4"/>
    <w:rsid w:val="703216A4"/>
    <w:rsid w:val="706D03F4"/>
    <w:rsid w:val="722320F1"/>
    <w:rsid w:val="73120C63"/>
    <w:rsid w:val="77507158"/>
    <w:rsid w:val="77B530EB"/>
    <w:rsid w:val="77DC456C"/>
    <w:rsid w:val="78467810"/>
    <w:rsid w:val="786A240A"/>
    <w:rsid w:val="788C31A4"/>
    <w:rsid w:val="7A6B664D"/>
    <w:rsid w:val="7FF963E6"/>
    <w:rsid w:val="87E35F76"/>
    <w:rsid w:val="BE1FF691"/>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ody Text"/>
    <w:basedOn w:val="1"/>
    <w:semiHidden/>
    <w:qFormat/>
    <w:uiPriority w:val="0"/>
  </w:style>
  <w:style w:type="paragraph" w:styleId="5">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6">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7">
    <w:name w:val="Balloon Text"/>
    <w:basedOn w:val="1"/>
    <w:semiHidden/>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1">
    <w:name w:val="annotation subject"/>
    <w:basedOn w:val="3"/>
    <w:next w:val="3"/>
    <w:link w:val="24"/>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qFormat/>
    <w:uiPriority w:val="0"/>
    <w:rPr>
      <w:b/>
      <w:bCs/>
    </w:rPr>
  </w:style>
  <w:style w:type="character" w:styleId="16">
    <w:name w:val="Emphasis"/>
    <w:basedOn w:val="14"/>
    <w:qFormat/>
    <w:uiPriority w:val="20"/>
    <w:rPr>
      <w:i/>
      <w:iCs/>
    </w:rPr>
  </w:style>
  <w:style w:type="character" w:styleId="17">
    <w:name w:val="Hyperlink"/>
    <w:qFormat/>
    <w:uiPriority w:val="0"/>
    <w:rPr>
      <w:color w:val="0068B7"/>
      <w:u w:val="none"/>
    </w:rPr>
  </w:style>
  <w:style w:type="character" w:styleId="18">
    <w:name w:val="annotation reference"/>
    <w:basedOn w:val="14"/>
    <w:qFormat/>
    <w:uiPriority w:val="0"/>
    <w:rPr>
      <w:sz w:val="21"/>
      <w:szCs w:val="21"/>
    </w:rPr>
  </w:style>
  <w:style w:type="character" w:customStyle="1" w:styleId="19">
    <w:name w:val="141"/>
    <w:qFormat/>
    <w:uiPriority w:val="0"/>
    <w:rPr>
      <w:sz w:val="21"/>
      <w:szCs w:val="21"/>
    </w:rPr>
  </w:style>
  <w:style w:type="character" w:customStyle="1" w:styleId="20">
    <w:name w:val="ztag pre"/>
    <w:basedOn w:val="14"/>
    <w:qFormat/>
    <w:uiPriority w:val="0"/>
  </w:style>
  <w:style w:type="character" w:customStyle="1" w:styleId="21">
    <w:name w:val="已访问的超链接1"/>
    <w:qFormat/>
    <w:uiPriority w:val="0"/>
    <w:rPr>
      <w:color w:val="800080"/>
      <w:u w:val="single"/>
    </w:rPr>
  </w:style>
  <w:style w:type="paragraph" w:styleId="22">
    <w:name w:val="List Paragraph"/>
    <w:basedOn w:val="1"/>
    <w:qFormat/>
    <w:uiPriority w:val="34"/>
    <w:pPr>
      <w:ind w:firstLine="420" w:firstLineChars="200"/>
    </w:pPr>
  </w:style>
  <w:style w:type="character" w:customStyle="1" w:styleId="23">
    <w:name w:val="批注文字 字符"/>
    <w:basedOn w:val="14"/>
    <w:link w:val="3"/>
    <w:qFormat/>
    <w:uiPriority w:val="0"/>
    <w:rPr>
      <w:kern w:val="2"/>
      <w:sz w:val="21"/>
      <w:szCs w:val="24"/>
    </w:rPr>
  </w:style>
  <w:style w:type="character" w:customStyle="1" w:styleId="24">
    <w:name w:val="批注主题 字符"/>
    <w:basedOn w:val="23"/>
    <w:link w:val="11"/>
    <w:qFormat/>
    <w:uiPriority w:val="0"/>
    <w:rPr>
      <w:b/>
      <w:bCs/>
      <w:kern w:val="2"/>
      <w:sz w:val="21"/>
      <w:szCs w:val="24"/>
    </w:rPr>
  </w:style>
  <w:style w:type="character" w:customStyle="1" w:styleId="25">
    <w:name w:val="Unresolved Mention"/>
    <w:basedOn w:val="14"/>
    <w:qFormat/>
    <w:uiPriority w:val="0"/>
    <w:rPr>
      <w:color w:val="605E5C"/>
      <w:shd w:val="clear" w:color="auto" w:fill="E1DFDD"/>
    </w:rPr>
  </w:style>
  <w:style w:type="paragraph" w:customStyle="1" w:styleId="2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7">
    <w:name w:val="无间隔1"/>
    <w:qFormat/>
    <w:uiPriority w:val="1"/>
    <w:rPr>
      <w:rFonts w:ascii="Calibri" w:hAnsi="Calibri" w:eastAsia="Calibri" w:cs="Times New Roman"/>
      <w:sz w:val="22"/>
      <w:szCs w:val="22"/>
      <w:lang w:val="en-US" w:eastAsia="en-US" w:bidi="ar-SA"/>
    </w:rPr>
  </w:style>
  <w:style w:type="paragraph" w:customStyle="1" w:styleId="28">
    <w:name w:val="Table Text"/>
    <w:basedOn w:val="1"/>
    <w:semiHidden/>
    <w:qFormat/>
    <w:uiPriority w:val="0"/>
    <w:rPr>
      <w:rFonts w:ascii="微软雅黑" w:hAnsi="微软雅黑" w:eastAsia="微软雅黑" w:cs="微软雅黑"/>
      <w:sz w:val="18"/>
      <w:szCs w:val="18"/>
      <w:lang w:val="en-US" w:eastAsia="en-US" w:bidi="ar-SA"/>
    </w:rPr>
  </w:style>
  <w:style w:type="table" w:customStyle="1" w:styleId="29">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2511</Words>
  <Characters>3454</Characters>
  <Lines>21</Lines>
  <Paragraphs>6</Paragraphs>
  <TotalTime>8</TotalTime>
  <ScaleCrop>false</ScaleCrop>
  <LinksUpToDate>false</LinksUpToDate>
  <CharactersWithSpaces>3713</CharactersWithSpaces>
  <Application>WPS Office WWO_base_provider_20221031101348-1857be321c</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2023-04-11T16:25:00Z</dcterms:created>
  <dc:creator>全美国际教育协会</dc:creator>
  <cp:lastModifiedBy>李晓茜</cp:lastModifiedBy>
  <cp:lastPrinted>2011-12-17T16:54:00Z</cp:lastPrinted>
  <dcterms:modified xsi:type="dcterms:W3CDTF">2023-12-22T14:59:59Z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2052-0.0.0.0</vt:lpwstr>
  </property>
  <property fmtid="{D5CDD505-2E9C-101B-9397-08002B2CF9AE}" pid="3" name="ICV">
    <vt:lpwstr>008FD1B7563844788CC54E8D94BBFB0D_13</vt:lpwstr>
  </property>
</Properties>
</file>