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4662"/>
        </w:tabs>
        <w:spacing w:line="360" w:lineRule="auto"/>
        <w:jc w:val="left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21"/>
          <w:lang w:eastAsia="zh-CN"/>
        </w:rPr>
        <w:tab/>
      </w:r>
    </w:p>
    <w:p>
      <w:pPr>
        <w:widowControl/>
        <w:spacing w:line="360" w:lineRule="auto"/>
        <w:jc w:val="center"/>
        <w:rPr>
          <w:rFonts w:hint="eastAsia" w:asciiTheme="minorHAnsi" w:hAnsiTheme="minorHAnsi" w:eastAsiaTheme="majorEastAsia" w:cstheme="minorHAnsi"/>
          <w:b/>
          <w:kern w:val="0"/>
          <w:sz w:val="32"/>
          <w:szCs w:val="32"/>
          <w:lang w:val="en-US" w:eastAsia="zh-CN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32"/>
          <w:lang w:val="en-US" w:eastAsia="zh-CN"/>
        </w:rPr>
        <w:t>新加坡南洋理工大学</w:t>
      </w:r>
    </w:p>
    <w:p>
      <w:pPr>
        <w:widowControl/>
        <w:spacing w:line="360" w:lineRule="auto"/>
        <w:jc w:val="center"/>
        <w:rPr>
          <w:rFonts w:hint="default" w:asciiTheme="minorHAnsi" w:hAnsiTheme="minorHAnsi" w:eastAsiaTheme="majorEastAsia" w:cstheme="minorHAnsi"/>
          <w:b/>
          <w:kern w:val="0"/>
          <w:sz w:val="32"/>
          <w:szCs w:val="32"/>
          <w:lang w:val="en-US" w:eastAsia="zh-CN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32"/>
          <w:lang w:val="en-US" w:eastAsia="zh-CN"/>
        </w:rPr>
        <w:t>传染病、生物化学与健康科学项目</w:t>
      </w:r>
    </w:p>
    <w:p>
      <w:pPr>
        <w:widowControl/>
        <w:spacing w:line="360" w:lineRule="auto"/>
        <w:jc w:val="center"/>
        <w:rPr>
          <w:rFonts w:hint="eastAsia" w:asciiTheme="minorHAnsi" w:hAnsiTheme="minorHAnsi" w:eastAsiaTheme="majorEastAsia" w:cstheme="minorHAnsi"/>
          <w:kern w:val="0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kern w:val="0"/>
          <w:sz w:val="28"/>
          <w:szCs w:val="28"/>
        </w:rPr>
        <w:t>Nanyang Technological University</w:t>
      </w:r>
    </w:p>
    <w:p>
      <w:pPr>
        <w:widowControl/>
        <w:spacing w:line="360" w:lineRule="auto"/>
        <w:jc w:val="center"/>
        <w:rPr>
          <w:rFonts w:hint="eastAsia" w:asciiTheme="minorHAnsi" w:hAnsiTheme="minorHAnsi" w:eastAsiaTheme="majorEastAsia" w:cstheme="minorHAnsi"/>
          <w:kern w:val="0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kern w:val="0"/>
          <w:sz w:val="28"/>
          <w:szCs w:val="28"/>
        </w:rPr>
        <w:t>Infectious Diseases, Biochemistry, and Future Health</w:t>
      </w:r>
    </w:p>
    <w:p>
      <w:pPr>
        <w:widowControl/>
        <w:spacing w:line="360" w:lineRule="auto"/>
        <w:jc w:val="center"/>
        <w:rPr>
          <w:rFonts w:hint="eastAsia" w:asciiTheme="minorHAnsi" w:hAnsiTheme="minorHAnsi" w:eastAsiaTheme="majorEastAsia" w:cstheme="minorHAnsi"/>
          <w:kern w:val="0"/>
          <w:sz w:val="28"/>
          <w:szCs w:val="28"/>
        </w:rPr>
      </w:pPr>
    </w:p>
    <w:p>
      <w:pPr>
        <w:widowControl/>
        <w:spacing w:line="360" w:lineRule="auto"/>
        <w:rPr>
          <w:rFonts w:cs="Calibri" w:asciiTheme="minorHAnsi" w:hAnsiTheme="minorHAnsi"/>
          <w:b/>
          <w:kern w:val="0"/>
          <w:szCs w:val="21"/>
        </w:rPr>
      </w:pPr>
      <w:r>
        <w:rPr>
          <w:rFonts w:hint="eastAsia" w:cs="Calibri" w:asciiTheme="minorHAnsi" w:hAnsiTheme="minorHAnsi"/>
          <w:b/>
          <w:kern w:val="0"/>
          <w:szCs w:val="21"/>
        </w:rPr>
        <w:t>一、项目综述</w:t>
      </w:r>
    </w:p>
    <w:p>
      <w:pPr>
        <w:widowControl/>
        <w:spacing w:line="360" w:lineRule="auto"/>
        <w:ind w:firstLine="420"/>
        <w:jc w:val="both"/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</w:pPr>
    </w:p>
    <w:p>
      <w:pPr>
        <w:widowControl/>
        <w:spacing w:line="360" w:lineRule="auto"/>
        <w:ind w:firstLine="420"/>
        <w:jc w:val="both"/>
        <w:rPr>
          <w:rFonts w:hint="default" w:asciiTheme="minorHAnsi" w:hAnsiTheme="minorHAnsi" w:eastAsiaTheme="majorEastAsia" w:cstheme="minorHAnsi"/>
          <w:kern w:val="0"/>
          <w:szCs w:val="21"/>
          <w:lang w:val="en-US" w:eastAsia="zh-CN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随着世界人口预计在 2050 年达到 90 亿，健康和营养已经变得越来越重要。高节奏的城市工作环境及新传染病的大爆发直接影响着我们的健康。所以充分了解人体生物化学（从遗传学和发育生物学、免疫学再到新陈代谢和健康）对于我们更好地了解自己、制定适当的战略来保护我们的健康至关重要。同时，随着科技的迅速发展，未来</w:t>
      </w:r>
      <w:r>
        <w:rPr>
          <w:rFonts w:hint="default" w:asciiTheme="minorHAnsi" w:hAnsiTheme="minorHAnsi" w:eastAsiaTheme="majorEastAsia" w:cstheme="minorHAnsi"/>
          <w:kern w:val="0"/>
          <w:szCs w:val="21"/>
          <w:lang w:val="en-US" w:eastAsia="zh-CN"/>
        </w:rPr>
        <w:t>生物医学将迎来更大的突破和发展。生物医学与人工智能、大数据等领域的交叉融合将成为未来的发展方向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。</w:t>
      </w:r>
    </w:p>
    <w:p>
      <w:pPr>
        <w:widowControl/>
        <w:spacing w:line="360" w:lineRule="auto"/>
        <w:ind w:firstLine="420"/>
        <w:jc w:val="both"/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</w:pPr>
    </w:p>
    <w:p>
      <w:pPr>
        <w:widowControl/>
        <w:spacing w:line="360" w:lineRule="auto"/>
        <w:ind w:firstLine="420"/>
        <w:jc w:val="both"/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因此，为了让中国学生体验世界一流名校的学术氛围，南洋理工大学主办部门举办本次8天的访学项目，由南洋理工大学在职教授授课，项目将开设「生物医学与疾病健康」、「药物开发与人体免疫」、「细胞代谢与疾病预防」与「新陈代谢与人类健康」等相关主题，涵盖新加坡南洋理工大学特色专业课、小组讨论、结业项目展示等内容，最大程度的让学员在短时间体验南洋理工大学的学术特色，以提升学员专业知识储备，拓展国际视野</w:t>
      </w:r>
    </w:p>
    <w:p>
      <w:pPr>
        <w:pStyle w:val="27"/>
        <w:widowControl w:val="0"/>
        <w:numPr>
          <w:ilvl w:val="0"/>
          <w:numId w:val="0"/>
        </w:numPr>
        <w:spacing w:before="168" w:line="176" w:lineRule="auto"/>
        <w:ind w:leftChars="0"/>
        <w:jc w:val="both"/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</w:pPr>
    </w:p>
    <w:p>
      <w:pPr>
        <w:widowControl/>
        <w:numPr>
          <w:ilvl w:val="0"/>
          <w:numId w:val="1"/>
        </w:numPr>
        <w:spacing w:line="360" w:lineRule="auto"/>
        <w:jc w:val="left"/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项目优势特色</w:t>
      </w:r>
    </w:p>
    <w:p>
      <w:pPr>
        <w:widowControl/>
        <w:numPr>
          <w:ilvl w:val="0"/>
          <w:numId w:val="0"/>
        </w:numPr>
        <w:spacing w:line="360" w:lineRule="auto"/>
        <w:jc w:val="left"/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</w:pPr>
    </w:p>
    <w:p>
      <w:pPr>
        <w:pStyle w:val="2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【最具针对性的课程主题】</w:t>
      </w:r>
      <w:r>
        <w:rPr>
          <w:rFonts w:hint="eastAsia" w:asciiTheme="minorHAnsi" w:hAnsiTheme="minorHAnsi" w:eastAsiaTheme="majorEastAsia" w:cstheme="minorHAnsi"/>
          <w:color w:val="auto"/>
          <w:kern w:val="0"/>
          <w:szCs w:val="21"/>
        </w:rPr>
        <w:t>通过</w:t>
      </w:r>
      <w:r>
        <w:rPr>
          <w:rFonts w:hint="eastAsia" w:asciiTheme="minorHAnsi" w:hAnsiTheme="minorHAnsi" w:eastAsiaTheme="majorEastAsia" w:cstheme="minorHAnsi"/>
          <w:color w:val="auto"/>
          <w:kern w:val="0"/>
          <w:szCs w:val="21"/>
          <w:lang w:val="en-US" w:eastAsia="zh-CN"/>
        </w:rPr>
        <w:t>生物化学</w:t>
      </w:r>
      <w:r>
        <w:rPr>
          <w:rFonts w:hint="eastAsia" w:asciiTheme="minorHAnsi" w:hAnsiTheme="minorHAnsi" w:eastAsiaTheme="majorEastAsia" w:cstheme="minorHAnsi"/>
          <w:color w:val="auto"/>
          <w:kern w:val="0"/>
          <w:szCs w:val="21"/>
        </w:rPr>
        <w:t>以及</w:t>
      </w:r>
      <w:r>
        <w:rPr>
          <w:rFonts w:hint="eastAsia" w:asciiTheme="minorHAnsi" w:hAnsiTheme="minorHAnsi" w:eastAsiaTheme="majorEastAsia" w:cstheme="minorHAnsi"/>
          <w:color w:val="auto"/>
          <w:kern w:val="0"/>
          <w:szCs w:val="21"/>
          <w:lang w:val="en-US" w:eastAsia="zh-CN"/>
        </w:rPr>
        <w:t>细胞代谢</w:t>
      </w:r>
      <w:r>
        <w:rPr>
          <w:rFonts w:hint="eastAsia" w:asciiTheme="minorHAnsi" w:hAnsiTheme="minorHAnsi" w:eastAsiaTheme="majorEastAsia" w:cstheme="minorHAnsi"/>
          <w:color w:val="auto"/>
          <w:kern w:val="0"/>
          <w:szCs w:val="21"/>
        </w:rPr>
        <w:t>两个层面，全方位提升学生对于</w:t>
      </w:r>
      <w:r>
        <w:rPr>
          <w:rFonts w:hint="eastAsia" w:asciiTheme="minorHAnsi" w:hAnsiTheme="minorHAnsi" w:eastAsiaTheme="majorEastAsia" w:cstheme="minorHAnsi"/>
          <w:color w:val="auto"/>
          <w:kern w:val="0"/>
          <w:szCs w:val="21"/>
          <w:lang w:val="en-US" w:eastAsia="zh-CN"/>
        </w:rPr>
        <w:t>健康科学生物制药的</w:t>
      </w:r>
      <w:r>
        <w:rPr>
          <w:rFonts w:hint="eastAsia" w:asciiTheme="minorHAnsi" w:hAnsiTheme="minorHAnsi" w:eastAsiaTheme="majorEastAsia" w:cstheme="minorHAnsi"/>
          <w:color w:val="auto"/>
          <w:kern w:val="0"/>
          <w:szCs w:val="21"/>
        </w:rPr>
        <w:t>理解与把握；</w:t>
      </w:r>
    </w:p>
    <w:p>
      <w:pPr>
        <w:pStyle w:val="2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【可接受四/六级成绩】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无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需托福雅思成绩，四级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470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/六级4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5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0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/多邻国90/高考110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即可申请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;</w:t>
      </w:r>
    </w:p>
    <w:p>
      <w:pPr>
        <w:pStyle w:val="2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bookmarkStart w:id="0" w:name="_Hlk129187307"/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【官方品质保障】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学生可获得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新加坡南洋理工大学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正式的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邀请函与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参课证明，享受学校图书馆等资源，并可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从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学习空间、教育技术等方面深度体验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新加坡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的社会与文化</w:t>
      </w:r>
      <w:bookmarkEnd w:id="0"/>
      <w:r>
        <w:rPr>
          <w:rFonts w:hint="eastAsia" w:asciiTheme="minorHAnsi" w:hAnsiTheme="minorHAnsi" w:eastAsiaTheme="majorEastAsia" w:cstheme="minorHAnsi"/>
          <w:kern w:val="0"/>
          <w:szCs w:val="21"/>
          <w:lang w:eastAsia="zh-CN"/>
        </w:rPr>
        <w:t>。</w:t>
      </w:r>
    </w:p>
    <w:p>
      <w:pPr>
        <w:pStyle w:val="21"/>
        <w:widowControl/>
        <w:numPr>
          <w:ilvl w:val="0"/>
          <w:numId w:val="0"/>
        </w:numPr>
        <w:spacing w:line="360" w:lineRule="auto"/>
        <w:ind w:left="420" w:left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三、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  <w:lang w:val="en-US" w:eastAsia="zh-CN"/>
        </w:rPr>
        <w:t>南洋理工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>
      <w:pPr>
        <w:pStyle w:val="2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</w:pPr>
      <w:r>
        <w:rPr>
          <w:rFonts w:hint="default" w:asciiTheme="minorHAnsi" w:hAnsiTheme="minorHAnsi" w:eastAsiaTheme="majorEastAsia" w:cstheme="minorHAnsi"/>
          <w:kern w:val="0"/>
          <w:szCs w:val="21"/>
          <w:lang w:val="en-US" w:eastAsia="zh-CN"/>
        </w:rPr>
        <w:t>南洋理工大学（Nanyang Technological University），简称NTU，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是新加坡首屈一指的世界顶级综合类研究型大学，同时也是新加坡一所科研密集型大学；</w:t>
      </w:r>
    </w:p>
    <w:p>
      <w:pPr>
        <w:pStyle w:val="2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hint="eastAsia"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全球十大最美丽的校园之列。 南大是环太平洋大学联盟、新工科教育国际联盟成员，全球高校人工智能学术联盟创始成员、</w:t>
      </w:r>
      <w:r>
        <w:rPr>
          <w:rFonts w:hint="default" w:asciiTheme="minorHAnsi" w:hAnsiTheme="minorHAnsi" w:eastAsiaTheme="majorEastAsia" w:cstheme="minorHAnsi"/>
          <w:kern w:val="0"/>
          <w:szCs w:val="21"/>
          <w:lang w:val="en-US" w:eastAsia="zh-CN"/>
        </w:rPr>
        <w:t xml:space="preserve">AACSB 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认证成员、国际事务专业学院协会成员，也是国际科技大学联盟的发起成员。南大在许多领域的研究享有世界盛名，为工科和商科并重的综合性大学；</w:t>
      </w:r>
    </w:p>
    <w:p>
      <w:pPr>
        <w:pStyle w:val="2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hint="eastAsia" w:cs="Arial" w:asciiTheme="minorHAnsi" w:hAnsiTheme="minorHAnsi"/>
          <w:color w:val="333333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2023 年 QS 世界大学排名全球第 19 名。南</w:t>
      </w:r>
      <w:r>
        <w:rPr>
          <w:rFonts w:hint="default" w:asciiTheme="minorHAnsi" w:hAnsiTheme="minorHAnsi" w:eastAsiaTheme="majorEastAsia" w:cstheme="minorHAnsi"/>
          <w:kern w:val="0"/>
          <w:szCs w:val="21"/>
          <w:lang w:val="en-US" w:eastAsia="zh-CN"/>
        </w:rPr>
        <w:t>大被“QS世界大学排名”评为世界顶尖大学之一，并多年蝉联全球年轻大学榜首。 </w:t>
      </w:r>
    </w:p>
    <w:p>
      <w:pPr>
        <w:widowControl/>
        <w:spacing w:line="360" w:lineRule="auto"/>
        <w:ind w:left="420" w:firstLine="420" w:firstLineChars="200"/>
        <w:jc w:val="left"/>
        <w:rPr>
          <w:rFonts w:hint="eastAsia" w:cs="Arial" w:asciiTheme="minorHAnsi" w:hAnsiTheme="minorHAnsi"/>
          <w:color w:val="333333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四、项目详情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hint="eastAsia" w:cs="Calibri" w:asciiTheme="minorHAnsi" w:hAnsiTheme="minorHAnsi"/>
          <w:b/>
          <w:szCs w:val="21"/>
        </w:rPr>
        <w:t>日期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2" w:firstLineChars="200"/>
        <w:jc w:val="left"/>
        <w:rPr>
          <w:rFonts w:hint="default" w:asciiTheme="minorHAnsi" w:hAnsiTheme="minorHAnsi" w:eastAsiaTheme="majorEastAsia" w:cstheme="minorHAnsi"/>
          <w:b/>
          <w:szCs w:val="21"/>
          <w:lang w:val="en-US" w:eastAsia="zh-CN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202</w:t>
      </w:r>
      <w:r>
        <w:rPr>
          <w:rFonts w:hint="default" w:asciiTheme="minorHAnsi" w:hAnsiTheme="minorHAnsi" w:eastAsiaTheme="majorEastAsia" w:cstheme="minorHAnsi"/>
          <w:b/>
          <w:szCs w:val="21"/>
        </w:rPr>
        <w:t>4年</w:t>
      </w:r>
      <w:r>
        <w:rPr>
          <w:rFonts w:hint="eastAsia" w:asciiTheme="minorHAnsi" w:hAnsiTheme="minorHAnsi" w:eastAsiaTheme="majorEastAsia" w:cstheme="minorHAnsi"/>
          <w:b/>
          <w:szCs w:val="21"/>
          <w:lang w:val="en-US" w:eastAsia="zh-CN"/>
        </w:rPr>
        <w:t>7-8月（可按需定制）</w:t>
      </w:r>
    </w:p>
    <w:p>
      <w:pPr>
        <w:spacing w:line="360" w:lineRule="auto"/>
        <w:rPr>
          <w:rFonts w:cs="Calibri" w:asciiTheme="minorHAnsi" w:hAnsiTheme="minorHAnsi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课程内容</w:t>
      </w:r>
      <w:r>
        <w:rPr>
          <w:rFonts w:cs="Calibri" w:asciiTheme="minorHAnsi" w:hAnsiTheme="minorHAnsi"/>
          <w:szCs w:val="21"/>
        </w:rPr>
        <w:t>】</w:t>
      </w:r>
    </w:p>
    <w:p>
      <w:pPr>
        <w:spacing w:line="360" w:lineRule="auto"/>
        <w:ind w:left="420" w:leftChars="200"/>
        <w:rPr>
          <w:rFonts w:hint="eastAsia" w:asciiTheme="minorHAnsi" w:hAnsiTheme="minorHAnsi" w:eastAsiaTheme="majorEastAsia" w:cstheme="minorHAnsi"/>
          <w:color w:val="0000FF"/>
          <w:szCs w:val="21"/>
          <w:lang w:eastAsia="zh-CN"/>
        </w:rPr>
      </w:pPr>
      <w:r>
        <w:rPr>
          <w:rFonts w:hint="eastAsia" w:cs="Calibri" w:asciiTheme="minorHAnsi" w:hAnsiTheme="minorHAnsi"/>
          <w:color w:val="auto"/>
          <w:szCs w:val="21"/>
        </w:rPr>
        <w:t>项目为期</w:t>
      </w:r>
      <w:r>
        <w:rPr>
          <w:rFonts w:hint="eastAsia" w:cs="Calibri" w:asciiTheme="minorHAnsi" w:hAnsiTheme="minorHAnsi"/>
          <w:color w:val="auto"/>
          <w:szCs w:val="21"/>
          <w:lang w:val="en-US" w:eastAsia="zh-CN"/>
        </w:rPr>
        <w:t>8天</w:t>
      </w:r>
      <w:r>
        <w:rPr>
          <w:rFonts w:hint="eastAsia" w:cs="Calibri" w:asciiTheme="minorHAnsi" w:hAnsiTheme="minorHAnsi"/>
          <w:color w:val="auto"/>
          <w:szCs w:val="21"/>
        </w:rPr>
        <w:t>，</w:t>
      </w:r>
      <w:r>
        <w:rPr>
          <w:rFonts w:hint="eastAsia" w:asciiTheme="minorHAnsi" w:hAnsiTheme="minorHAnsi" w:eastAsiaTheme="majorEastAsia" w:cstheme="minorHAnsi"/>
          <w:color w:val="auto"/>
          <w:szCs w:val="21"/>
          <w:lang w:val="en-US" w:eastAsia="zh-CN"/>
        </w:rPr>
        <w:t>项目共计30课时，包含20课时的</w:t>
      </w:r>
      <w:r>
        <w:rPr>
          <w:rFonts w:hint="eastAsia" w:asciiTheme="minorHAnsi" w:hAnsiTheme="minorHAnsi" w:eastAsiaTheme="majorEastAsia" w:cstheme="minorHAnsi"/>
          <w:color w:val="auto"/>
          <w:szCs w:val="21"/>
        </w:rPr>
        <w:t>授课时间</w:t>
      </w:r>
      <w:r>
        <w:rPr>
          <w:rFonts w:hint="eastAsia" w:asciiTheme="minorHAnsi" w:hAnsiTheme="minorHAnsi" w:eastAsiaTheme="majorEastAsia" w:cstheme="minorHAnsi"/>
          <w:color w:val="auto"/>
          <w:szCs w:val="21"/>
          <w:lang w:val="en-US" w:eastAsia="zh-CN"/>
        </w:rPr>
        <w:t xml:space="preserve">及10课时的人文参访/企业调研/实验操作等环节。 </w:t>
      </w:r>
      <w:r>
        <w:rPr>
          <w:rFonts w:hint="eastAsia" w:asciiTheme="minorHAnsi" w:hAnsiTheme="minorHAnsi" w:eastAsiaTheme="majorEastAsia" w:cstheme="minorHAnsi"/>
          <w:color w:val="auto"/>
          <w:szCs w:val="21"/>
        </w:rPr>
        <w:t>授课时间预计为当地时间每周一至周五上午9</w:t>
      </w:r>
      <w:r>
        <w:rPr>
          <w:rFonts w:asciiTheme="minorHAnsi" w:hAnsiTheme="minorHAnsi" w:eastAsiaTheme="majorEastAsia" w:cstheme="minorHAnsi"/>
          <w:color w:val="auto"/>
          <w:szCs w:val="21"/>
        </w:rPr>
        <w:t>-12</w:t>
      </w:r>
      <w:r>
        <w:rPr>
          <w:rFonts w:hint="eastAsia" w:asciiTheme="minorHAnsi" w:hAnsiTheme="minorHAnsi" w:eastAsiaTheme="majorEastAsia" w:cstheme="minorHAnsi"/>
          <w:color w:val="auto"/>
          <w:szCs w:val="21"/>
        </w:rPr>
        <w:t>点或下午1</w:t>
      </w:r>
      <w:r>
        <w:rPr>
          <w:rFonts w:asciiTheme="minorHAnsi" w:hAnsiTheme="minorHAnsi" w:eastAsiaTheme="majorEastAsia" w:cstheme="minorHAnsi"/>
          <w:color w:val="auto"/>
          <w:szCs w:val="21"/>
        </w:rPr>
        <w:t>-4</w:t>
      </w:r>
      <w:r>
        <w:rPr>
          <w:rFonts w:hint="eastAsia" w:asciiTheme="minorHAnsi" w:hAnsiTheme="minorHAnsi" w:eastAsiaTheme="majorEastAsia" w:cstheme="minorHAnsi"/>
          <w:color w:val="auto"/>
          <w:szCs w:val="21"/>
        </w:rPr>
        <w:t>点（以校方实际安排的课表为准）</w:t>
      </w:r>
      <w:r>
        <w:rPr>
          <w:rFonts w:hint="eastAsia" w:asciiTheme="minorHAnsi" w:hAnsiTheme="minorHAnsi" w:eastAsiaTheme="majorEastAsia" w:cstheme="minorHAnsi"/>
          <w:color w:val="auto"/>
          <w:szCs w:val="21"/>
          <w:lang w:eastAsia="zh-CN"/>
        </w:rPr>
        <w:t>。</w:t>
      </w:r>
    </w:p>
    <w:p>
      <w:pPr>
        <w:spacing w:line="360" w:lineRule="auto"/>
        <w:ind w:left="420" w:leftChars="200"/>
        <w:rPr>
          <w:rFonts w:hint="eastAsia"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hint="eastAsia" w:asciiTheme="minorHAnsi" w:hAnsiTheme="minorHAnsi" w:eastAsiaTheme="majorEastAsia" w:cstheme="minorHAnsi"/>
          <w:szCs w:val="21"/>
          <w:lang w:val="en-US" w:eastAsia="zh-CN"/>
        </w:rPr>
      </w:pPr>
      <w:bookmarkStart w:id="1" w:name="_Hlk129190440"/>
      <w:r>
        <w:rPr>
          <w:rFonts w:hint="eastAsia" w:asciiTheme="minorHAnsi" w:hAnsiTheme="minorHAnsi" w:eastAsiaTheme="majorEastAsia" w:cs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szCs w:val="21"/>
        </w:rPr>
        <w:t>参考日程</w:t>
      </w:r>
      <w:r>
        <w:rPr>
          <w:rFonts w:hint="eastAsia" w:asciiTheme="minorHAnsi" w:hAnsiTheme="minorHAnsi" w:eastAsiaTheme="majorEastAsia" w:cstheme="minorHAnsi"/>
          <w:szCs w:val="21"/>
        </w:rPr>
        <w:t>】（仅供参考，以校方实际安排为准）</w:t>
      </w:r>
    </w:p>
    <w:p>
      <w:pPr>
        <w:spacing w:before="1" w:line="220" w:lineRule="auto"/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</w:pPr>
    </w:p>
    <w:tbl>
      <w:tblPr>
        <w:tblStyle w:val="12"/>
        <w:tblW w:w="0" w:type="auto"/>
        <w:tblInd w:w="1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3"/>
        <w:gridCol w:w="6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  <w:shd w:val="clear" w:color="auto" w:fill="BEBEBE" w:themeFill="background1" w:themeFillShade="BF"/>
          </w:tcPr>
          <w:p>
            <w:pPr>
              <w:widowControl w:val="0"/>
              <w:spacing w:before="1" w:line="22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  <w:vertAlign w:val="baseline"/>
                <w:lang w:val="en-US" w:eastAsia="zh-CN"/>
              </w:rPr>
              <w:t>日程</w:t>
            </w:r>
          </w:p>
        </w:tc>
        <w:tc>
          <w:tcPr>
            <w:tcW w:w="6133" w:type="dxa"/>
            <w:shd w:val="clear" w:color="auto" w:fill="BEBEBE" w:themeFill="background1" w:themeFillShade="BF"/>
          </w:tcPr>
          <w:p>
            <w:pPr>
              <w:widowControl w:val="0"/>
              <w:spacing w:before="1" w:line="220" w:lineRule="auto"/>
              <w:jc w:val="center"/>
              <w:rPr>
                <w:rFonts w:hint="default" w:ascii="宋体" w:hAnsi="宋体" w:eastAsia="宋体" w:cs="宋体"/>
                <w:b/>
                <w:bCs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pacing w:val="-2"/>
                <w:sz w:val="21"/>
                <w:szCs w:val="21"/>
                <w:vertAlign w:val="baseline"/>
                <w:lang w:val="en-US" w:eastAsia="zh-CN"/>
              </w:rPr>
              <w:t>日程安排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33" w:type="dxa"/>
          </w:tcPr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eastAsia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default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  <w:t>Day 1</w:t>
            </w:r>
          </w:p>
        </w:tc>
        <w:tc>
          <w:tcPr>
            <w:tcW w:w="6133" w:type="dxa"/>
            <w:vAlign w:val="top"/>
          </w:tcPr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Departure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启程出发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Arrived in Singapore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抵达新加坡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Ice-Breaker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破冰之旅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2033" w:type="dxa"/>
          </w:tcPr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default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  <w:t>Day 2</w:t>
            </w:r>
          </w:p>
        </w:tc>
        <w:tc>
          <w:tcPr>
            <w:tcW w:w="6133" w:type="dxa"/>
            <w:vAlign w:val="top"/>
          </w:tcPr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Introduction to Biomedical Science 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生物医学导论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Science disciplines whose primary focus is the biology of human health and diseases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以人类健康和疾病的生物学为主要研究对象的科学学科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Four major areas: Genetics and Developmental Biology, Human Immunology; Cellular Metabolism; and Metabolism and Human Health 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四个主要领域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：</w:t>
            </w:r>
          </w:p>
          <w:p>
            <w:pPr>
              <w:pStyle w:val="27"/>
              <w:widowControl w:val="0"/>
              <w:numPr>
                <w:ilvl w:val="0"/>
                <w:numId w:val="3"/>
              </w:numPr>
              <w:spacing w:before="168" w:line="176" w:lineRule="auto"/>
              <w:ind w:left="420" w:leftChars="0" w:hanging="420" w:firstLineChars="0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遗传学和发育生物学</w:t>
            </w:r>
          </w:p>
          <w:p>
            <w:pPr>
              <w:pStyle w:val="27"/>
              <w:widowControl w:val="0"/>
              <w:numPr>
                <w:ilvl w:val="0"/>
                <w:numId w:val="3"/>
              </w:numPr>
              <w:spacing w:before="168" w:line="176" w:lineRule="auto"/>
              <w:ind w:left="420" w:leftChars="0" w:hanging="420" w:firstLineChars="0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人类免疫学</w:t>
            </w:r>
          </w:p>
          <w:p>
            <w:pPr>
              <w:pStyle w:val="27"/>
              <w:widowControl w:val="0"/>
              <w:numPr>
                <w:ilvl w:val="0"/>
                <w:numId w:val="3"/>
              </w:numPr>
              <w:spacing w:before="168" w:line="176" w:lineRule="auto"/>
              <w:ind w:left="420" w:leftChars="0" w:hanging="420" w:firstLineChars="0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细胞代谢</w:t>
            </w:r>
          </w:p>
          <w:p>
            <w:pPr>
              <w:pStyle w:val="27"/>
              <w:widowControl w:val="0"/>
              <w:numPr>
                <w:ilvl w:val="0"/>
                <w:numId w:val="3"/>
              </w:numPr>
              <w:spacing w:before="168" w:line="176" w:lineRule="auto"/>
              <w:ind w:left="420" w:leftChars="0" w:hanging="420" w:firstLineChars="0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人类健康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2033" w:type="dxa"/>
          </w:tcPr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default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  <w:t>Day 3</w:t>
            </w:r>
          </w:p>
        </w:tc>
        <w:tc>
          <w:tcPr>
            <w:tcW w:w="6133" w:type="dxa"/>
            <w:vAlign w:val="top"/>
          </w:tcPr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Human Immunology 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人类免疫学 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Innate immunity; humoral immunity; cell-mediated immunity; immune response towards infections; vaccine development; drug development 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先天免疫；体液免疫；细胞介导免疫；对感染的免疫反应；疫苗开发；药物开发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2033" w:type="dxa"/>
          </w:tcPr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default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  <w:t>Day 4</w:t>
            </w:r>
          </w:p>
        </w:tc>
        <w:tc>
          <w:tcPr>
            <w:tcW w:w="6133" w:type="dxa"/>
            <w:vAlign w:val="top"/>
          </w:tcPr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Cellular Metabolism 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细胞代谢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Principles of metabolism; chemical energy and sources; glucose metabolism; non-glucose 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metabolism; coordination of metabolic pathways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新陈代谢的原理；化学能的来源；葡萄糖新陈代谢；非葡萄糖新陈代谢；新陈代谢途径的协调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2033" w:type="dxa"/>
          </w:tcPr>
          <w:p>
            <w:pPr>
              <w:widowControl w:val="0"/>
              <w:spacing w:before="1" w:line="220" w:lineRule="auto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default" w:ascii="宋体" w:hAnsi="宋体" w:eastAsia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  <w:t>Day 5</w:t>
            </w:r>
          </w:p>
        </w:tc>
        <w:tc>
          <w:tcPr>
            <w:tcW w:w="6133" w:type="dxa"/>
            <w:vAlign w:val="top"/>
          </w:tcPr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Metabolism and Human Health </w:t>
            </w:r>
          </w:p>
          <w:p>
            <w:pPr>
              <w:pStyle w:val="27"/>
              <w:widowControl w:val="0"/>
              <w:numPr>
                <w:ilvl w:val="0"/>
                <w:numId w:val="0"/>
              </w:numPr>
              <w:spacing w:before="168" w:line="176" w:lineRule="auto"/>
              <w:ind w:leftChars="0"/>
              <w:jc w:val="both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新陈代谢与人类健康 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Metabolism and diet; metabolism and exercise; metabolism and health conditions; metabolism and infectious diseases </w:t>
            </w:r>
          </w:p>
          <w:p>
            <w:pPr>
              <w:pStyle w:val="27"/>
              <w:widowControl w:val="0"/>
              <w:numPr>
                <w:ilvl w:val="0"/>
                <w:numId w:val="0"/>
              </w:numPr>
              <w:spacing w:before="168" w:line="176" w:lineRule="auto"/>
              <w:ind w:leftChars="0"/>
              <w:jc w:val="both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新陈代谢与饮食；新陈代谢与运动；新陈代谢与健康状况；新陈代谢与传染病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2033" w:type="dxa"/>
          </w:tcPr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default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  <w:t>Day 6</w:t>
            </w:r>
          </w:p>
        </w:tc>
        <w:tc>
          <w:tcPr>
            <w:tcW w:w="6133" w:type="dxa"/>
            <w:vAlign w:val="top"/>
          </w:tcPr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Project Presentation &amp; Closing Remarks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访学汇报与结业典礼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小组项目展示 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Opportunities for International Teachers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Group1/2/3/4/5... 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End of the Final Presentation - 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Announcement of Winning Team Certification</w:t>
            </w:r>
          </w:p>
          <w:p>
            <w:pPr>
              <w:pStyle w:val="27"/>
              <w:widowControl w:val="0"/>
              <w:numPr>
                <w:ilvl w:val="0"/>
                <w:numId w:val="0"/>
              </w:numPr>
              <w:spacing w:before="168" w:line="176" w:lineRule="auto"/>
              <w:ind w:leftChars="0"/>
              <w:jc w:val="both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项目结业仪式&amp;优胜小组证书颁发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2033" w:type="dxa"/>
          </w:tcPr>
          <w:p>
            <w:pPr>
              <w:pStyle w:val="27"/>
              <w:widowControl w:val="0"/>
              <w:spacing w:before="171" w:line="174" w:lineRule="auto"/>
              <w:ind w:firstLine="412" w:firstLineChars="200"/>
              <w:jc w:val="left"/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  <w:t>Day 7</w:t>
            </w:r>
          </w:p>
        </w:tc>
        <w:tc>
          <w:tcPr>
            <w:tcW w:w="6133" w:type="dxa"/>
            <w:vAlign w:val="top"/>
          </w:tcPr>
          <w:p>
            <w:pPr>
              <w:pStyle w:val="27"/>
              <w:widowControl w:val="0"/>
              <w:spacing w:before="171" w:line="174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上午:牛车水-小印度-鱼尾狮公园-甘傍格南-哈芝巷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下午:参访世界文化遗产/新加坡植物园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2033" w:type="dxa"/>
          </w:tcPr>
          <w:p>
            <w:pPr>
              <w:pStyle w:val="27"/>
              <w:widowControl w:val="0"/>
              <w:spacing w:before="171" w:line="174" w:lineRule="auto"/>
              <w:ind w:firstLine="412" w:firstLineChars="200"/>
              <w:jc w:val="left"/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>Day 8</w:t>
            </w:r>
          </w:p>
        </w:tc>
        <w:tc>
          <w:tcPr>
            <w:tcW w:w="6133" w:type="dxa"/>
            <w:vAlign w:val="top"/>
          </w:tcPr>
          <w:p>
            <w:pPr>
              <w:pStyle w:val="9"/>
              <w:keepNext w:val="0"/>
              <w:keepLines w:val="0"/>
              <w:widowControl/>
              <w:suppressLineNumbers w:val="0"/>
              <w:spacing w:before="114" w:beforeAutospacing="0" w:after="0" w:afterAutospacing="0" w:line="175" w:lineRule="auto"/>
              <w:ind w:left="0" w:firstLine="0"/>
              <w:jc w:val="left"/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</w:rPr>
              <w:t>到达国内 Back to China :)</w:t>
            </w:r>
          </w:p>
        </w:tc>
      </w:tr>
    </w:tbl>
    <w:p>
      <w:pPr>
        <w:pStyle w:val="25"/>
        <w:spacing w:line="380" w:lineRule="exact"/>
        <w:rPr>
          <w:rFonts w:asciiTheme="minorEastAsia" w:hAnsiTheme="minorEastAsia" w:eastAsiaTheme="minorEastAsia"/>
          <w:color w:val="auto"/>
          <w:sz w:val="18"/>
          <w:szCs w:val="18"/>
        </w:rPr>
      </w:pPr>
      <w:r>
        <w:rPr>
          <w:rFonts w:hint="eastAsia" w:asciiTheme="minorEastAsia" w:hAnsiTheme="minorEastAsia" w:eastAsiaTheme="minorEastAsia"/>
          <w:color w:val="auto"/>
          <w:sz w:val="18"/>
          <w:szCs w:val="18"/>
        </w:rPr>
        <w:t>(注：以上行程安排仅为参考，实际行程安排以最终</w:t>
      </w:r>
      <w:r>
        <w:rPr>
          <w:rFonts w:hint="eastAsia" w:asciiTheme="minorEastAsia" w:hAnsiTheme="minorEastAsia" w:eastAsiaTheme="minorEastAsia"/>
          <w:color w:val="auto"/>
          <w:sz w:val="18"/>
          <w:szCs w:val="18"/>
          <w:lang w:val="en-US" w:eastAsia="zh-CN"/>
        </w:rPr>
        <w:t>南大</w:t>
      </w:r>
      <w:r>
        <w:rPr>
          <w:rFonts w:hint="eastAsia" w:asciiTheme="minorEastAsia" w:hAnsiTheme="minorEastAsia" w:eastAsiaTheme="minorEastAsia"/>
          <w:color w:val="auto"/>
          <w:sz w:val="18"/>
          <w:szCs w:val="18"/>
        </w:rPr>
        <w:t>校方出具的行程为准)</w:t>
      </w:r>
    </w:p>
    <w:p>
      <w:pPr>
        <w:spacing w:line="360" w:lineRule="auto"/>
        <w:rPr>
          <w:rFonts w:hint="default" w:eastAsia="宋体" w:cs="Calibri" w:asciiTheme="minorHAnsi" w:hAnsiTheme="minorHAnsi"/>
          <w:szCs w:val="21"/>
          <w:lang w:val="en-US" w:eastAsia="zh-CN"/>
        </w:rPr>
      </w:pPr>
    </w:p>
    <w:bookmarkEnd w:id="1"/>
    <w:p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项目收获</w:t>
      </w:r>
      <w:r>
        <w:rPr>
          <w:rFonts w:cs="Calibri" w:asciiTheme="minorHAnsi" w:hAnsiTheme="minorHAnsi"/>
          <w:szCs w:val="21"/>
        </w:rPr>
        <w:t>】</w:t>
      </w:r>
    </w:p>
    <w:p>
      <w:pPr>
        <w:spacing w:line="360" w:lineRule="auto"/>
        <w:ind w:firstLine="430"/>
        <w:rPr>
          <w:rFonts w:hint="eastAsia" w:cs="Calibri" w:asciiTheme="minorHAnsi" w:hAnsiTheme="minorHAnsi"/>
          <w:szCs w:val="21"/>
          <w:lang w:val="en-US" w:eastAsia="zh-CN"/>
        </w:rPr>
      </w:pPr>
      <w:r>
        <w:rPr>
          <w:rFonts w:hint="eastAsia" w:cs="Calibri" w:asciiTheme="minorHAnsi" w:hAnsiTheme="minorHAnsi"/>
          <w:szCs w:val="21"/>
          <w:lang w:val="en-US" w:eastAsia="zh-CN"/>
        </w:rPr>
        <w:t>报名成功的学员将收到南洋理工大学主办部门签发的邀请函。 顺利完成本课程并通过结业的学员，将获得由南洋理工大学主办部门官方颁发的结业证书，优胜小组成员还将额外获得推荐信，即优秀学员证明。</w:t>
      </w:r>
    </w:p>
    <w:p>
      <w:pPr>
        <w:widowControl/>
        <w:spacing w:line="360" w:lineRule="auto"/>
        <w:jc w:val="left"/>
        <w:rPr>
          <w:rFonts w:hint="eastAsia" w:cs="Calibri" w:asciiTheme="minorHAnsi" w:hAnsiTheme="minorHAnsi"/>
          <w:kern w:val="0"/>
          <w:sz w:val="22"/>
        </w:rPr>
      </w:pPr>
      <w:r>
        <w:rPr>
          <w:rFonts w:hint="eastAsia" w:cs="Calibri" w:asciiTheme="minorHAnsi" w:hAnsiTheme="minorHAnsi"/>
          <w:kern w:val="0"/>
          <w:sz w:val="22"/>
        </w:rPr>
        <w:t xml:space="preserve">Official Arrangements </w:t>
      </w:r>
    </w:p>
    <w:p>
      <w:pPr>
        <w:widowControl/>
        <w:numPr>
          <w:ilvl w:val="0"/>
          <w:numId w:val="4"/>
        </w:numPr>
        <w:spacing w:line="360" w:lineRule="auto"/>
        <w:ind w:left="420" w:leftChars="0" w:hanging="420" w:firstLineChars="0"/>
        <w:jc w:val="left"/>
        <w:rPr>
          <w:rFonts w:hint="eastAsia" w:cs="Calibri" w:asciiTheme="minorHAnsi" w:hAnsiTheme="minorHAnsi"/>
          <w:kern w:val="0"/>
          <w:sz w:val="22"/>
        </w:rPr>
      </w:pPr>
      <w:r>
        <w:rPr>
          <w:rFonts w:hint="eastAsia" w:cs="Calibri" w:asciiTheme="minorHAnsi" w:hAnsiTheme="minorHAnsi"/>
          <w:kern w:val="0"/>
          <w:sz w:val="22"/>
        </w:rPr>
        <w:t xml:space="preserve">Official Invitation </w:t>
      </w:r>
    </w:p>
    <w:p>
      <w:pPr>
        <w:widowControl/>
        <w:numPr>
          <w:ilvl w:val="0"/>
          <w:numId w:val="4"/>
        </w:numPr>
        <w:spacing w:line="360" w:lineRule="auto"/>
        <w:ind w:left="420" w:leftChars="0" w:hanging="420" w:firstLineChars="0"/>
        <w:jc w:val="left"/>
        <w:rPr>
          <w:rFonts w:hint="eastAsia" w:cs="Calibri" w:asciiTheme="minorHAnsi" w:hAnsiTheme="minorHAnsi"/>
          <w:kern w:val="0"/>
          <w:sz w:val="22"/>
        </w:rPr>
      </w:pPr>
      <w:r>
        <w:rPr>
          <w:rFonts w:hint="eastAsia" w:cs="Calibri" w:asciiTheme="minorHAnsi" w:hAnsiTheme="minorHAnsi"/>
          <w:kern w:val="0"/>
          <w:sz w:val="22"/>
        </w:rPr>
        <w:t xml:space="preserve">Certificates of Program Completion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2308860</wp:posOffset>
            </wp:positionH>
            <wp:positionV relativeFrom="paragraph">
              <wp:posOffset>158750</wp:posOffset>
            </wp:positionV>
            <wp:extent cx="1837055" cy="1284605"/>
            <wp:effectExtent l="0" t="0" r="4445" b="10795"/>
            <wp:wrapNone/>
            <wp:docPr id="2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37055" cy="1284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14550" cy="3009900"/>
            <wp:effectExtent l="0" t="0" r="635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133600" cy="1485900"/>
            <wp:effectExtent l="0" t="0" r="0" b="0"/>
            <wp:docPr id="3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3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图：新加坡南洋理工大学项目证书，结业证书与推荐信样图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tbl>
      <w:tblPr>
        <w:tblStyle w:val="12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7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74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bookmarkStart w:id="2" w:name="_Hlk129190493"/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7048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val="en-US" w:eastAsia="zh-CN"/>
              </w:rPr>
              <w:t>合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人民</w:t>
            </w:r>
            <w:r>
              <w:rPr>
                <w:rFonts w:hint="eastAsia" w:asciiTheme="minorHAnsi" w:hAnsiTheme="minorHAnsi" w:eastAsiaTheme="majorEastAsia" w:cstheme="minorHAnsi"/>
                <w:color w:val="auto"/>
                <w:szCs w:val="21"/>
              </w:rPr>
              <w:t>币</w:t>
            </w:r>
            <w:r>
              <w:rPr>
                <w:rFonts w:hint="eastAsia" w:asciiTheme="minorHAnsi" w:hAnsiTheme="minorHAnsi" w:eastAsiaTheme="majorEastAsia" w:cstheme="minorHAnsi"/>
                <w:color w:val="auto"/>
                <w:szCs w:val="21"/>
                <w:lang w:val="en-US" w:eastAsia="zh-CN"/>
              </w:rPr>
              <w:t>13400</w:t>
            </w:r>
            <w:r>
              <w:rPr>
                <w:rFonts w:hint="eastAsia" w:asciiTheme="minorHAnsi" w:hAnsiTheme="minorHAnsi" w:eastAsiaTheme="majorEastAsia" w:cstheme="minorHAnsi"/>
                <w:color w:val="auto"/>
                <w:szCs w:val="21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</w:t>
            </w:r>
          </w:p>
        </w:tc>
        <w:tc>
          <w:tcPr>
            <w:tcW w:w="7048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学费、杂费、医疗与意外险、接机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val="en-US" w:eastAsia="zh-CN"/>
              </w:rPr>
              <w:t>及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项目设计与管理费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74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</w:t>
            </w:r>
          </w:p>
        </w:tc>
        <w:tc>
          <w:tcPr>
            <w:tcW w:w="7048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国际机票、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val="en-US" w:eastAsia="zh-CN"/>
              </w:rPr>
              <w:t>住宿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</w:t>
            </w:r>
            <w:bookmarkStart w:id="3" w:name="_GoBack"/>
            <w:bookmarkEnd w:id="3"/>
            <w:r>
              <w:rPr>
                <w:rFonts w:hint="eastAsia" w:asciiTheme="minorHAnsi" w:hAnsiTheme="minorHAnsi" w:eastAsiaTheme="majorEastAsia" w:cstheme="minorHAnsi"/>
                <w:szCs w:val="21"/>
              </w:rPr>
              <w:t>签证费、个人生活费</w:t>
            </w:r>
          </w:p>
        </w:tc>
      </w:tr>
      <w:bookmarkEnd w:id="2"/>
    </w:tbl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五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>
      <w:pPr>
        <w:pStyle w:val="21"/>
        <w:widowControl/>
        <w:numPr>
          <w:ilvl w:val="0"/>
          <w:numId w:val="5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：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25人成团，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无需托福雅思成绩，四级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470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/六级4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5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0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/</w:t>
      </w:r>
      <w:r>
        <w:rPr>
          <w:rFonts w:hint="default" w:asciiTheme="minorHAnsi" w:hAnsiTheme="minorHAnsi" w:eastAsiaTheme="majorEastAsia" w:cstheme="minorHAnsi"/>
          <w:kern w:val="0"/>
          <w:szCs w:val="21"/>
          <w:lang w:eastAsia="zh-CN"/>
        </w:rPr>
        <w:t>专四65/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多邻国90/高考110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即可申请</w:t>
      </w:r>
    </w:p>
    <w:p>
      <w:pPr>
        <w:pStyle w:val="21"/>
        <w:numPr>
          <w:ilvl w:val="0"/>
          <w:numId w:val="5"/>
        </w:numPr>
        <w:spacing w:line="360" w:lineRule="auto"/>
        <w:ind w:firstLineChars="0"/>
        <w:rPr>
          <w:rFonts w:cs="宋体" w:asciiTheme="minorHAnsi" w:hAnsiTheme="minorHAnsi"/>
          <w:b/>
          <w:kern w:val="0"/>
          <w:sz w:val="2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报名</w:t>
      </w:r>
      <w:r>
        <w:rPr>
          <w:rFonts w:asciiTheme="minorHAnsi" w:hAnsiTheme="minorHAnsi" w:eastAsiaTheme="majorEastAsia" w:cstheme="minorHAnsi"/>
          <w:b/>
          <w:kern w:val="0"/>
          <w:szCs w:val="21"/>
        </w:rPr>
        <w:t>方式</w:t>
      </w: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 xml:space="preserve">： 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</w:rPr>
        <w:t>登录</w:t>
      </w:r>
      <w:r>
        <w:rPr>
          <w:rFonts w:asciiTheme="minorHAnsi" w:hAnsiTheme="minorHAnsi" w:eastAsiaTheme="majorEastAsia" w:cstheme="minorHAnsi"/>
          <w:szCs w:val="21"/>
        </w:rPr>
        <w:t>全美国际教育协会网站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6"/>
          <w:rFonts w:hint="eastAsia" w:asciiTheme="minorHAnsi" w:hAnsiTheme="minorHAnsi" w:eastAsiaTheme="majorEastAsia" w:cstheme="minorHAnsi"/>
          <w:szCs w:val="21"/>
        </w:rPr>
        <w:t>www.usiea.org</w:t>
      </w:r>
      <w:r>
        <w:rPr>
          <w:rStyle w:val="16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hint="eastAsia" w:asciiTheme="minorHAnsi" w:hAnsiTheme="minorHAnsi" w:eastAsiaTheme="majorEastAsia" w:cstheme="minorHAnsi"/>
          <w:szCs w:val="21"/>
        </w:rPr>
        <w:t xml:space="preserve"> </w:t>
      </w:r>
      <w:r>
        <w:rPr>
          <w:rFonts w:asciiTheme="minorHAnsi" w:hAnsiTheme="minorHAnsi" w:eastAsiaTheme="majorEastAsia" w:cstheme="minorHAnsi"/>
          <w:szCs w:val="21"/>
        </w:rPr>
        <w:t>填写《</w:t>
      </w:r>
      <w:r>
        <w:rPr>
          <w:rFonts w:hint="eastAsia" w:asciiTheme="minorHAnsi" w:hAnsiTheme="minorHAnsi" w:eastAsiaTheme="majorEastAsia" w:cstheme="minorHAnsi"/>
          <w:szCs w:val="21"/>
        </w:rPr>
        <w:t>世界</w:t>
      </w:r>
      <w:r>
        <w:rPr>
          <w:rFonts w:asciiTheme="minorHAnsi" w:hAnsiTheme="minorHAnsi" w:eastAsiaTheme="majorEastAsia" w:cstheme="minorHAnsi"/>
          <w:szCs w:val="21"/>
        </w:rPr>
        <w:t>名校访学项目报名表》；</w:t>
      </w:r>
    </w:p>
    <w:p>
      <w:pPr>
        <w:pStyle w:val="21"/>
        <w:numPr>
          <w:ilvl w:val="0"/>
          <w:numId w:val="5"/>
        </w:numPr>
        <w:spacing w:line="360" w:lineRule="auto"/>
        <w:ind w:firstLineChars="0"/>
        <w:rPr>
          <w:rFonts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  <w:lang w:val="en-US" w:eastAsia="zh-CN"/>
        </w:rPr>
        <w:t>建议</w:t>
      </w: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截止日期：</w:t>
      </w:r>
      <w:r>
        <w:rPr>
          <w:rFonts w:ascii="Calibri" w:hAnsi="Calibri" w:cs="Calibri"/>
          <w:szCs w:val="21"/>
        </w:rPr>
        <w:t>202</w:t>
      </w:r>
      <w:r>
        <w:rPr>
          <w:rFonts w:hint="eastAsia" w:ascii="Calibri" w:hAnsi="Calibri" w:cs="Calibri"/>
          <w:szCs w:val="21"/>
          <w:lang w:val="en-US" w:eastAsia="zh-CN"/>
        </w:rPr>
        <w:t>4年</w:t>
      </w:r>
    </w:p>
    <w:p>
      <w:pPr>
        <w:pStyle w:val="21"/>
        <w:numPr>
          <w:ilvl w:val="0"/>
          <w:numId w:val="0"/>
        </w:numPr>
        <w:spacing w:line="360" w:lineRule="auto"/>
        <w:ind w:leftChars="0"/>
        <w:rPr>
          <w:rFonts w:cs="Calibri" w:asciiTheme="minorHAnsi" w:hAnsiTheme="minorHAnsi"/>
          <w:szCs w:val="21"/>
        </w:rPr>
      </w:pPr>
    </w:p>
    <w:p>
      <w:pPr>
        <w:spacing w:line="360" w:lineRule="auto"/>
        <w:rPr>
          <w:rFonts w:hint="default" w:asciiTheme="minorHAnsi" w:hAnsiTheme="minorHAnsi" w:eastAsiaTheme="majorEastAsia" w:cstheme="minorHAnsi"/>
          <w:szCs w:val="21"/>
          <w:u w:val="single"/>
          <w:lang w:val="en-US"/>
        </w:rPr>
      </w:pPr>
      <w:r>
        <w:rPr>
          <w:rFonts w:hint="eastAsia" w:asciiTheme="minorHAnsi" w:hAnsiTheme="minorHAnsi" w:eastAsiaTheme="majorEastAsia" w:cstheme="minorHAnsi"/>
          <w:szCs w:val="21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  <w:u w:val="none"/>
        </w:rPr>
      </w:pPr>
    </w:p>
    <w:p>
      <w:pPr>
        <w:spacing w:line="360" w:lineRule="auto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全美国际教育协会官微：全美国际访学微刊</w:t>
      </w:r>
    </w:p>
    <w:p>
      <w:pPr>
        <w:spacing w:line="360" w:lineRule="auto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全美国际教育协会官网：</w:t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:lang w:val="en-US" w:eastAsia="zh-CN"/>
          <w14:textFill>
            <w14:solidFill>
              <w14:schemeClr w14:val="accent1"/>
            </w14:solidFill>
          </w14:textFill>
        </w:rPr>
        <w:t>www.usiea.org </w:t>
      </w:r>
    </w:p>
    <w:p>
      <w:pPr>
        <w:spacing w:line="360" w:lineRule="auto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项目邮箱咨询：</w:t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14:textFill>
            <w14:solidFill>
              <w14:schemeClr w14:val="accent1"/>
            </w14:solidFill>
          </w14:textFill>
        </w:rPr>
        <w:fldChar w:fldCharType="begin"/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14:textFill>
            <w14:solidFill>
              <w14:schemeClr w14:val="accent1"/>
            </w14:solidFill>
          </w14:textFill>
        </w:rPr>
        <w:instrText xml:space="preserve"> HYPERLINK "mailto:visit_usyd@yeah.net" </w:instrText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14:textFill>
            <w14:solidFill>
              <w14:schemeClr w14:val="accent1"/>
            </w14:solidFill>
          </w14:textFill>
        </w:rPr>
        <w:fldChar w:fldCharType="separate"/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14:textFill>
            <w14:solidFill>
              <w14:schemeClr w14:val="accent1"/>
            </w14:solidFill>
          </w14:textFill>
        </w:rPr>
        <w:t>visit_</w:t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:lang w:val="en-US" w:eastAsia="zh-CN"/>
          <w14:textFill>
            <w14:solidFill>
              <w14:schemeClr w14:val="accent1"/>
            </w14:solidFill>
          </w14:textFill>
        </w:rPr>
        <w:t>ntu</w:t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14:textFill>
            <w14:solidFill>
              <w14:schemeClr w14:val="accent1"/>
            </w14:solidFill>
          </w14:textFill>
        </w:rPr>
        <w:t>@yeah.net</w:t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14:textFill>
            <w14:solidFill>
              <w14:schemeClr w14:val="accent1"/>
            </w14:solidFill>
          </w14:textFill>
        </w:rPr>
        <w:fldChar w:fldCharType="end"/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14:textFill>
            <w14:solidFill>
              <w14:schemeClr w14:val="accent1"/>
            </w14:solidFill>
          </w14:textFill>
        </w:rPr>
        <w:t xml:space="preserve"> </w:t>
      </w:r>
    </w:p>
    <w:p>
      <w:pPr>
        <w:pStyle w:val="9"/>
        <w:keepNext w:val="0"/>
        <w:keepLines w:val="0"/>
        <w:widowControl/>
        <w:suppressLineNumbers w:val="0"/>
        <w:spacing w:before="0" w:beforeAutospacing="0" w:after="0" w:afterAutospacing="0" w:line="360" w:lineRule="auto"/>
        <w:ind w:left="0" w:firstLine="0"/>
        <w:jc w:val="left"/>
        <w:rPr>
          <w:rFonts w:hint="eastAsia" w:ascii="Calibri" w:hAnsi="Calibri" w:eastAsia="宋体" w:cs="Calibri"/>
          <w:sz w:val="22"/>
          <w:szCs w:val="22"/>
          <w:lang w:eastAsia="zh-CN"/>
        </w:rPr>
      </w:pPr>
    </w:p>
    <w:p>
      <w:pPr>
        <w:widowControl/>
        <w:spacing w:line="360" w:lineRule="auto"/>
        <w:jc w:val="left"/>
        <w:rPr>
          <w:rFonts w:hint="default" w:cs="宋体" w:asciiTheme="minorHAnsi" w:hAnsiTheme="minorHAnsi"/>
          <w:kern w:val="0"/>
          <w:sz w:val="20"/>
          <w:szCs w:val="21"/>
          <w:highlight w:val="green"/>
          <w:lang w:val="en-US" w:eastAsia="zh-CN"/>
        </w:rPr>
      </w:pPr>
    </w:p>
    <w:p>
      <w:pPr>
        <w:widowControl/>
        <w:spacing w:line="360" w:lineRule="auto"/>
        <w:jc w:val="left"/>
        <w:rPr>
          <w:rFonts w:hint="default" w:cs="宋体" w:asciiTheme="minorHAnsi" w:hAnsiTheme="minorHAnsi"/>
          <w:kern w:val="0"/>
          <w:sz w:val="20"/>
          <w:szCs w:val="21"/>
          <w:highlight w:val="green"/>
          <w:lang w:val="en-US" w:eastAsia="zh-CN"/>
        </w:rPr>
      </w:pP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  <w:r>
      <w:rPr>
        <w:rFonts w:hint="eastAsia" w:asciiTheme="minorHAnsi" w:hAnsiTheme="minorHAnsi" w:eastAsiaTheme="majorEastAsia" w:cstheme="minorHAnsi"/>
        <w:b/>
        <w:kern w:val="0"/>
        <w:sz w:val="32"/>
        <w:szCs w:val="21"/>
      </w:rPr>
      <w:drawing>
        <wp:anchor distT="0" distB="0" distL="0" distR="0" simplePos="0" relativeHeight="251660288" behindDoc="0" locked="0" layoutInCell="1" allowOverlap="1">
          <wp:simplePos x="0" y="0"/>
          <wp:positionH relativeFrom="column">
            <wp:posOffset>4344670</wp:posOffset>
          </wp:positionH>
          <wp:positionV relativeFrom="paragraph">
            <wp:posOffset>93980</wp:posOffset>
          </wp:positionV>
          <wp:extent cx="857250" cy="299720"/>
          <wp:effectExtent l="0" t="0" r="6350" b="5080"/>
          <wp:wrapNone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2585" cy="3015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FB564B0"/>
    <w:multiLevelType w:val="singleLevel"/>
    <w:tmpl w:val="AFB564B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C496AAD1"/>
    <w:multiLevelType w:val="singleLevel"/>
    <w:tmpl w:val="C496AAD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46834264"/>
    <w:multiLevelType w:val="multilevel"/>
    <w:tmpl w:val="4683426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 w:cs="Wingdings"/>
      </w:rPr>
    </w:lvl>
  </w:abstractNum>
  <w:abstractNum w:abstractNumId="3">
    <w:nsid w:val="7165FCB2"/>
    <w:multiLevelType w:val="singleLevel"/>
    <w:tmpl w:val="7165FCB2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M3YmEyYWI5ZDlhODE0MmRmOWU3M2JjYTllZWE4YWUifQ=="/>
  </w:docVars>
  <w:rsids>
    <w:rsidRoot w:val="00500A8F"/>
    <w:rsid w:val="00002650"/>
    <w:rsid w:val="00002E62"/>
    <w:rsid w:val="000035D7"/>
    <w:rsid w:val="000056C7"/>
    <w:rsid w:val="0000590A"/>
    <w:rsid w:val="00006712"/>
    <w:rsid w:val="00010148"/>
    <w:rsid w:val="00010F31"/>
    <w:rsid w:val="000169DD"/>
    <w:rsid w:val="00020633"/>
    <w:rsid w:val="000226BC"/>
    <w:rsid w:val="00022AFD"/>
    <w:rsid w:val="000230BD"/>
    <w:rsid w:val="00023476"/>
    <w:rsid w:val="000236D2"/>
    <w:rsid w:val="00024C64"/>
    <w:rsid w:val="00025206"/>
    <w:rsid w:val="000255BF"/>
    <w:rsid w:val="0003068E"/>
    <w:rsid w:val="00030A02"/>
    <w:rsid w:val="00031403"/>
    <w:rsid w:val="00032519"/>
    <w:rsid w:val="0003257B"/>
    <w:rsid w:val="000362BD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5242"/>
    <w:rsid w:val="00067D4B"/>
    <w:rsid w:val="00067E78"/>
    <w:rsid w:val="000703CF"/>
    <w:rsid w:val="00075129"/>
    <w:rsid w:val="000820F9"/>
    <w:rsid w:val="000840CC"/>
    <w:rsid w:val="00084777"/>
    <w:rsid w:val="000860BB"/>
    <w:rsid w:val="00087DB0"/>
    <w:rsid w:val="0009206E"/>
    <w:rsid w:val="00092225"/>
    <w:rsid w:val="000922FE"/>
    <w:rsid w:val="000954F4"/>
    <w:rsid w:val="00095996"/>
    <w:rsid w:val="00097F35"/>
    <w:rsid w:val="000A0A86"/>
    <w:rsid w:val="000A11D2"/>
    <w:rsid w:val="000A2A22"/>
    <w:rsid w:val="000A4030"/>
    <w:rsid w:val="000A5251"/>
    <w:rsid w:val="000A5300"/>
    <w:rsid w:val="000B1A29"/>
    <w:rsid w:val="000B60EF"/>
    <w:rsid w:val="000C2F7C"/>
    <w:rsid w:val="000C3F5B"/>
    <w:rsid w:val="000C4E56"/>
    <w:rsid w:val="000C5C18"/>
    <w:rsid w:val="000C63F0"/>
    <w:rsid w:val="000C7850"/>
    <w:rsid w:val="000C7F9A"/>
    <w:rsid w:val="000D0F3D"/>
    <w:rsid w:val="000D3060"/>
    <w:rsid w:val="000D4A7A"/>
    <w:rsid w:val="000D4BC5"/>
    <w:rsid w:val="000E1209"/>
    <w:rsid w:val="000E5DBE"/>
    <w:rsid w:val="000E71FC"/>
    <w:rsid w:val="000E7915"/>
    <w:rsid w:val="000F0580"/>
    <w:rsid w:val="000F0933"/>
    <w:rsid w:val="000F10F6"/>
    <w:rsid w:val="000F140D"/>
    <w:rsid w:val="000F168E"/>
    <w:rsid w:val="000F24EA"/>
    <w:rsid w:val="000F44E6"/>
    <w:rsid w:val="000F540B"/>
    <w:rsid w:val="000F6E7C"/>
    <w:rsid w:val="001013E1"/>
    <w:rsid w:val="0010196F"/>
    <w:rsid w:val="0010208E"/>
    <w:rsid w:val="001051AF"/>
    <w:rsid w:val="00105AD2"/>
    <w:rsid w:val="00106BA3"/>
    <w:rsid w:val="0010774B"/>
    <w:rsid w:val="00110B1F"/>
    <w:rsid w:val="00110EDA"/>
    <w:rsid w:val="0011231F"/>
    <w:rsid w:val="00112EFC"/>
    <w:rsid w:val="00113160"/>
    <w:rsid w:val="001131EA"/>
    <w:rsid w:val="00116EF3"/>
    <w:rsid w:val="00120A5E"/>
    <w:rsid w:val="001215C7"/>
    <w:rsid w:val="001218A9"/>
    <w:rsid w:val="0012340B"/>
    <w:rsid w:val="0012415E"/>
    <w:rsid w:val="0012488E"/>
    <w:rsid w:val="00124B0D"/>
    <w:rsid w:val="00125024"/>
    <w:rsid w:val="00127C1E"/>
    <w:rsid w:val="00127FE8"/>
    <w:rsid w:val="00130ABC"/>
    <w:rsid w:val="00131D30"/>
    <w:rsid w:val="00133CC6"/>
    <w:rsid w:val="00134011"/>
    <w:rsid w:val="00135172"/>
    <w:rsid w:val="00135F93"/>
    <w:rsid w:val="00137744"/>
    <w:rsid w:val="00140B49"/>
    <w:rsid w:val="00143294"/>
    <w:rsid w:val="00144F0E"/>
    <w:rsid w:val="0014567C"/>
    <w:rsid w:val="00146AB9"/>
    <w:rsid w:val="0015294E"/>
    <w:rsid w:val="0015487E"/>
    <w:rsid w:val="0016167D"/>
    <w:rsid w:val="001649C2"/>
    <w:rsid w:val="00167799"/>
    <w:rsid w:val="00167C8D"/>
    <w:rsid w:val="00170451"/>
    <w:rsid w:val="001705F0"/>
    <w:rsid w:val="00171267"/>
    <w:rsid w:val="0017217E"/>
    <w:rsid w:val="001738F0"/>
    <w:rsid w:val="001750CC"/>
    <w:rsid w:val="00175F78"/>
    <w:rsid w:val="00176AC7"/>
    <w:rsid w:val="00176F21"/>
    <w:rsid w:val="00182E04"/>
    <w:rsid w:val="001834A2"/>
    <w:rsid w:val="00186190"/>
    <w:rsid w:val="0019096B"/>
    <w:rsid w:val="00192BD9"/>
    <w:rsid w:val="00192C0F"/>
    <w:rsid w:val="0019718A"/>
    <w:rsid w:val="001A0C7A"/>
    <w:rsid w:val="001A116C"/>
    <w:rsid w:val="001A25EC"/>
    <w:rsid w:val="001A281F"/>
    <w:rsid w:val="001A32AC"/>
    <w:rsid w:val="001A7D56"/>
    <w:rsid w:val="001B1730"/>
    <w:rsid w:val="001B5CE0"/>
    <w:rsid w:val="001C1A51"/>
    <w:rsid w:val="001C6985"/>
    <w:rsid w:val="001D2C48"/>
    <w:rsid w:val="001D4042"/>
    <w:rsid w:val="001D458C"/>
    <w:rsid w:val="001D4EF4"/>
    <w:rsid w:val="001E31D7"/>
    <w:rsid w:val="001E5D98"/>
    <w:rsid w:val="001E6096"/>
    <w:rsid w:val="001F0505"/>
    <w:rsid w:val="001F16D2"/>
    <w:rsid w:val="001F49A8"/>
    <w:rsid w:val="001F5524"/>
    <w:rsid w:val="001F7F26"/>
    <w:rsid w:val="00201963"/>
    <w:rsid w:val="00201C65"/>
    <w:rsid w:val="00202030"/>
    <w:rsid w:val="00203BFF"/>
    <w:rsid w:val="002102D2"/>
    <w:rsid w:val="00210A0E"/>
    <w:rsid w:val="002133F2"/>
    <w:rsid w:val="00213D09"/>
    <w:rsid w:val="0021575D"/>
    <w:rsid w:val="0021711E"/>
    <w:rsid w:val="002202A8"/>
    <w:rsid w:val="00220E2D"/>
    <w:rsid w:val="002211FB"/>
    <w:rsid w:val="0022214B"/>
    <w:rsid w:val="00223F58"/>
    <w:rsid w:val="002252BD"/>
    <w:rsid w:val="002274D9"/>
    <w:rsid w:val="00227BA1"/>
    <w:rsid w:val="00230EA2"/>
    <w:rsid w:val="0023347E"/>
    <w:rsid w:val="00234DAC"/>
    <w:rsid w:val="00241555"/>
    <w:rsid w:val="002441C6"/>
    <w:rsid w:val="0024447C"/>
    <w:rsid w:val="002449A1"/>
    <w:rsid w:val="0024592F"/>
    <w:rsid w:val="0024696A"/>
    <w:rsid w:val="00251642"/>
    <w:rsid w:val="00255140"/>
    <w:rsid w:val="002561EF"/>
    <w:rsid w:val="00257563"/>
    <w:rsid w:val="00257E0D"/>
    <w:rsid w:val="002605C0"/>
    <w:rsid w:val="00260D7C"/>
    <w:rsid w:val="00261406"/>
    <w:rsid w:val="00261C11"/>
    <w:rsid w:val="00265CD5"/>
    <w:rsid w:val="00266900"/>
    <w:rsid w:val="00271BCB"/>
    <w:rsid w:val="00275270"/>
    <w:rsid w:val="0027600D"/>
    <w:rsid w:val="0028056A"/>
    <w:rsid w:val="002852EE"/>
    <w:rsid w:val="0029175A"/>
    <w:rsid w:val="0029179F"/>
    <w:rsid w:val="00292326"/>
    <w:rsid w:val="00295361"/>
    <w:rsid w:val="00296348"/>
    <w:rsid w:val="00297E1A"/>
    <w:rsid w:val="002A05E1"/>
    <w:rsid w:val="002A402F"/>
    <w:rsid w:val="002A4498"/>
    <w:rsid w:val="002A4E59"/>
    <w:rsid w:val="002A6DA2"/>
    <w:rsid w:val="002A7570"/>
    <w:rsid w:val="002B1078"/>
    <w:rsid w:val="002B5FE3"/>
    <w:rsid w:val="002B61DD"/>
    <w:rsid w:val="002B7076"/>
    <w:rsid w:val="002B7842"/>
    <w:rsid w:val="002C2028"/>
    <w:rsid w:val="002C229B"/>
    <w:rsid w:val="002C27D4"/>
    <w:rsid w:val="002C3134"/>
    <w:rsid w:val="002C500D"/>
    <w:rsid w:val="002C6AEB"/>
    <w:rsid w:val="002C722D"/>
    <w:rsid w:val="002C78C7"/>
    <w:rsid w:val="002D04D0"/>
    <w:rsid w:val="002D76B2"/>
    <w:rsid w:val="002D7905"/>
    <w:rsid w:val="002D7B20"/>
    <w:rsid w:val="002E1476"/>
    <w:rsid w:val="002E1BFC"/>
    <w:rsid w:val="002E202C"/>
    <w:rsid w:val="002E3299"/>
    <w:rsid w:val="002E46DC"/>
    <w:rsid w:val="002E4985"/>
    <w:rsid w:val="002E4E8F"/>
    <w:rsid w:val="002E64CC"/>
    <w:rsid w:val="002F01B1"/>
    <w:rsid w:val="002F04E4"/>
    <w:rsid w:val="002F0545"/>
    <w:rsid w:val="002F1A53"/>
    <w:rsid w:val="002F1F44"/>
    <w:rsid w:val="002F3568"/>
    <w:rsid w:val="002F3CF5"/>
    <w:rsid w:val="002F715D"/>
    <w:rsid w:val="002F7AB9"/>
    <w:rsid w:val="0030157A"/>
    <w:rsid w:val="003016B3"/>
    <w:rsid w:val="00302995"/>
    <w:rsid w:val="00303D3D"/>
    <w:rsid w:val="0031077E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3C15"/>
    <w:rsid w:val="00337023"/>
    <w:rsid w:val="003376C4"/>
    <w:rsid w:val="00342D9D"/>
    <w:rsid w:val="00342E7E"/>
    <w:rsid w:val="003440CB"/>
    <w:rsid w:val="00347CC3"/>
    <w:rsid w:val="003504A0"/>
    <w:rsid w:val="00350FE9"/>
    <w:rsid w:val="00352A1D"/>
    <w:rsid w:val="0035315E"/>
    <w:rsid w:val="00353816"/>
    <w:rsid w:val="00361CCF"/>
    <w:rsid w:val="00361F0C"/>
    <w:rsid w:val="00364A0C"/>
    <w:rsid w:val="00366FEE"/>
    <w:rsid w:val="00370CE9"/>
    <w:rsid w:val="003738EA"/>
    <w:rsid w:val="00374D88"/>
    <w:rsid w:val="00374F64"/>
    <w:rsid w:val="00375491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366B"/>
    <w:rsid w:val="003941C6"/>
    <w:rsid w:val="00394A95"/>
    <w:rsid w:val="00396306"/>
    <w:rsid w:val="003963D3"/>
    <w:rsid w:val="00397742"/>
    <w:rsid w:val="00397891"/>
    <w:rsid w:val="003A18E7"/>
    <w:rsid w:val="003A35AE"/>
    <w:rsid w:val="003A5D84"/>
    <w:rsid w:val="003A6BB9"/>
    <w:rsid w:val="003B07D0"/>
    <w:rsid w:val="003B4151"/>
    <w:rsid w:val="003B669C"/>
    <w:rsid w:val="003B786E"/>
    <w:rsid w:val="003B7CFB"/>
    <w:rsid w:val="003C3065"/>
    <w:rsid w:val="003C6EF7"/>
    <w:rsid w:val="003D092D"/>
    <w:rsid w:val="003D0F7B"/>
    <w:rsid w:val="003D0FE9"/>
    <w:rsid w:val="003D2BCE"/>
    <w:rsid w:val="003D4037"/>
    <w:rsid w:val="003D4529"/>
    <w:rsid w:val="003D4B46"/>
    <w:rsid w:val="003D5D6D"/>
    <w:rsid w:val="003D5F48"/>
    <w:rsid w:val="003E01B3"/>
    <w:rsid w:val="003E1E31"/>
    <w:rsid w:val="003E3199"/>
    <w:rsid w:val="003E7DA0"/>
    <w:rsid w:val="003F050A"/>
    <w:rsid w:val="003F059B"/>
    <w:rsid w:val="003F28FF"/>
    <w:rsid w:val="003F482C"/>
    <w:rsid w:val="003F50D1"/>
    <w:rsid w:val="003F5F88"/>
    <w:rsid w:val="003F70FB"/>
    <w:rsid w:val="00401B67"/>
    <w:rsid w:val="00402323"/>
    <w:rsid w:val="0041273F"/>
    <w:rsid w:val="004162E6"/>
    <w:rsid w:val="004175FA"/>
    <w:rsid w:val="0042204E"/>
    <w:rsid w:val="00422073"/>
    <w:rsid w:val="004230B4"/>
    <w:rsid w:val="00426325"/>
    <w:rsid w:val="00426691"/>
    <w:rsid w:val="004268C4"/>
    <w:rsid w:val="00427C68"/>
    <w:rsid w:val="004364F5"/>
    <w:rsid w:val="00437A33"/>
    <w:rsid w:val="004414AC"/>
    <w:rsid w:val="00443A8C"/>
    <w:rsid w:val="0044476E"/>
    <w:rsid w:val="00445E16"/>
    <w:rsid w:val="004469A3"/>
    <w:rsid w:val="00447D52"/>
    <w:rsid w:val="00450C4E"/>
    <w:rsid w:val="00450F8F"/>
    <w:rsid w:val="0045270B"/>
    <w:rsid w:val="00454C45"/>
    <w:rsid w:val="00456EAE"/>
    <w:rsid w:val="004624BE"/>
    <w:rsid w:val="00463A43"/>
    <w:rsid w:val="00465A92"/>
    <w:rsid w:val="004663D3"/>
    <w:rsid w:val="004679CE"/>
    <w:rsid w:val="00470270"/>
    <w:rsid w:val="00471BF2"/>
    <w:rsid w:val="00471CBF"/>
    <w:rsid w:val="00472046"/>
    <w:rsid w:val="00473D2D"/>
    <w:rsid w:val="004740F6"/>
    <w:rsid w:val="00477914"/>
    <w:rsid w:val="0048136E"/>
    <w:rsid w:val="00485AD1"/>
    <w:rsid w:val="00486AA5"/>
    <w:rsid w:val="00486B7F"/>
    <w:rsid w:val="004878DF"/>
    <w:rsid w:val="00491DAD"/>
    <w:rsid w:val="00492830"/>
    <w:rsid w:val="004932B6"/>
    <w:rsid w:val="004946E0"/>
    <w:rsid w:val="00495E6D"/>
    <w:rsid w:val="00496B26"/>
    <w:rsid w:val="00496CA9"/>
    <w:rsid w:val="004A1602"/>
    <w:rsid w:val="004A51A8"/>
    <w:rsid w:val="004A6DE9"/>
    <w:rsid w:val="004B00BD"/>
    <w:rsid w:val="004B49EE"/>
    <w:rsid w:val="004B4D89"/>
    <w:rsid w:val="004B516E"/>
    <w:rsid w:val="004B5235"/>
    <w:rsid w:val="004C0E26"/>
    <w:rsid w:val="004C2EED"/>
    <w:rsid w:val="004C343D"/>
    <w:rsid w:val="004C5277"/>
    <w:rsid w:val="004C6632"/>
    <w:rsid w:val="004C6B0E"/>
    <w:rsid w:val="004D2349"/>
    <w:rsid w:val="004D2423"/>
    <w:rsid w:val="004D3884"/>
    <w:rsid w:val="004D5BBA"/>
    <w:rsid w:val="004E0748"/>
    <w:rsid w:val="004E728E"/>
    <w:rsid w:val="004F0AAB"/>
    <w:rsid w:val="004F23F6"/>
    <w:rsid w:val="004F47B7"/>
    <w:rsid w:val="004F5014"/>
    <w:rsid w:val="004F743F"/>
    <w:rsid w:val="004F7C1B"/>
    <w:rsid w:val="00500A8F"/>
    <w:rsid w:val="0050288C"/>
    <w:rsid w:val="005043E9"/>
    <w:rsid w:val="00505D0D"/>
    <w:rsid w:val="005060F9"/>
    <w:rsid w:val="00506680"/>
    <w:rsid w:val="0051030F"/>
    <w:rsid w:val="005109DD"/>
    <w:rsid w:val="0051106C"/>
    <w:rsid w:val="00512BAE"/>
    <w:rsid w:val="00520C0E"/>
    <w:rsid w:val="00522E12"/>
    <w:rsid w:val="00522EAE"/>
    <w:rsid w:val="005250F2"/>
    <w:rsid w:val="00525703"/>
    <w:rsid w:val="00525752"/>
    <w:rsid w:val="005260BE"/>
    <w:rsid w:val="00527573"/>
    <w:rsid w:val="005326B5"/>
    <w:rsid w:val="005339BB"/>
    <w:rsid w:val="00534DE3"/>
    <w:rsid w:val="00535F08"/>
    <w:rsid w:val="00536E3C"/>
    <w:rsid w:val="00536F45"/>
    <w:rsid w:val="00537EE6"/>
    <w:rsid w:val="005447E3"/>
    <w:rsid w:val="00547E75"/>
    <w:rsid w:val="00550343"/>
    <w:rsid w:val="00550BFC"/>
    <w:rsid w:val="0055300A"/>
    <w:rsid w:val="00555016"/>
    <w:rsid w:val="00556212"/>
    <w:rsid w:val="005606AC"/>
    <w:rsid w:val="005669D8"/>
    <w:rsid w:val="0057138A"/>
    <w:rsid w:val="00572B6E"/>
    <w:rsid w:val="00572E88"/>
    <w:rsid w:val="00574C99"/>
    <w:rsid w:val="005762B0"/>
    <w:rsid w:val="00576F4D"/>
    <w:rsid w:val="00581F18"/>
    <w:rsid w:val="00582FDD"/>
    <w:rsid w:val="00584716"/>
    <w:rsid w:val="005849E3"/>
    <w:rsid w:val="00584E4F"/>
    <w:rsid w:val="00584E6C"/>
    <w:rsid w:val="005854D7"/>
    <w:rsid w:val="005868F6"/>
    <w:rsid w:val="00586D6C"/>
    <w:rsid w:val="0058733F"/>
    <w:rsid w:val="00587D18"/>
    <w:rsid w:val="00587EBA"/>
    <w:rsid w:val="00592227"/>
    <w:rsid w:val="00593143"/>
    <w:rsid w:val="0059369F"/>
    <w:rsid w:val="00594449"/>
    <w:rsid w:val="00596D1A"/>
    <w:rsid w:val="005A091D"/>
    <w:rsid w:val="005A0E6B"/>
    <w:rsid w:val="005A31F5"/>
    <w:rsid w:val="005A65C8"/>
    <w:rsid w:val="005A70E4"/>
    <w:rsid w:val="005B05DC"/>
    <w:rsid w:val="005B3A36"/>
    <w:rsid w:val="005B48E9"/>
    <w:rsid w:val="005B5847"/>
    <w:rsid w:val="005B5D60"/>
    <w:rsid w:val="005B69C2"/>
    <w:rsid w:val="005C0687"/>
    <w:rsid w:val="005C27A1"/>
    <w:rsid w:val="005C3BCA"/>
    <w:rsid w:val="005C5DEE"/>
    <w:rsid w:val="005C649E"/>
    <w:rsid w:val="005C67D4"/>
    <w:rsid w:val="005C7CC0"/>
    <w:rsid w:val="005D0683"/>
    <w:rsid w:val="005D0922"/>
    <w:rsid w:val="005D26E7"/>
    <w:rsid w:val="005D3CC6"/>
    <w:rsid w:val="005D5AD2"/>
    <w:rsid w:val="005D6F09"/>
    <w:rsid w:val="005E035C"/>
    <w:rsid w:val="005E1836"/>
    <w:rsid w:val="005E262D"/>
    <w:rsid w:val="005E3FC1"/>
    <w:rsid w:val="005E47B3"/>
    <w:rsid w:val="005E5A41"/>
    <w:rsid w:val="005E674A"/>
    <w:rsid w:val="005E6E17"/>
    <w:rsid w:val="005F6112"/>
    <w:rsid w:val="00602232"/>
    <w:rsid w:val="0060500E"/>
    <w:rsid w:val="006054B9"/>
    <w:rsid w:val="00606AA2"/>
    <w:rsid w:val="00606C4F"/>
    <w:rsid w:val="006107DC"/>
    <w:rsid w:val="0061228A"/>
    <w:rsid w:val="00614EA4"/>
    <w:rsid w:val="00617A76"/>
    <w:rsid w:val="00620469"/>
    <w:rsid w:val="00621ED0"/>
    <w:rsid w:val="00622238"/>
    <w:rsid w:val="00622E0D"/>
    <w:rsid w:val="00624BB2"/>
    <w:rsid w:val="006312D6"/>
    <w:rsid w:val="006316FD"/>
    <w:rsid w:val="0063217A"/>
    <w:rsid w:val="00632329"/>
    <w:rsid w:val="006361BC"/>
    <w:rsid w:val="006364AA"/>
    <w:rsid w:val="00636A3C"/>
    <w:rsid w:val="00637AD1"/>
    <w:rsid w:val="00642CD5"/>
    <w:rsid w:val="006452B3"/>
    <w:rsid w:val="0064537E"/>
    <w:rsid w:val="00645792"/>
    <w:rsid w:val="00646BC1"/>
    <w:rsid w:val="006476B2"/>
    <w:rsid w:val="00647A59"/>
    <w:rsid w:val="00650651"/>
    <w:rsid w:val="00651F92"/>
    <w:rsid w:val="006551A7"/>
    <w:rsid w:val="00657005"/>
    <w:rsid w:val="0066295A"/>
    <w:rsid w:val="00663035"/>
    <w:rsid w:val="00664055"/>
    <w:rsid w:val="00666CF9"/>
    <w:rsid w:val="00667457"/>
    <w:rsid w:val="00667A61"/>
    <w:rsid w:val="006706BC"/>
    <w:rsid w:val="00670ED6"/>
    <w:rsid w:val="006724FC"/>
    <w:rsid w:val="00673E32"/>
    <w:rsid w:val="006740B4"/>
    <w:rsid w:val="00674734"/>
    <w:rsid w:val="0067541F"/>
    <w:rsid w:val="00684D38"/>
    <w:rsid w:val="006858D5"/>
    <w:rsid w:val="0068615F"/>
    <w:rsid w:val="00687DBB"/>
    <w:rsid w:val="00696B1C"/>
    <w:rsid w:val="0069732D"/>
    <w:rsid w:val="006A1AF8"/>
    <w:rsid w:val="006A2B5F"/>
    <w:rsid w:val="006A32C4"/>
    <w:rsid w:val="006A6851"/>
    <w:rsid w:val="006A72B8"/>
    <w:rsid w:val="006B576E"/>
    <w:rsid w:val="006B59F4"/>
    <w:rsid w:val="006B6001"/>
    <w:rsid w:val="006C1F05"/>
    <w:rsid w:val="006C2070"/>
    <w:rsid w:val="006C4426"/>
    <w:rsid w:val="006C4C6F"/>
    <w:rsid w:val="006C70AC"/>
    <w:rsid w:val="006C7539"/>
    <w:rsid w:val="006D0A5D"/>
    <w:rsid w:val="006D2C29"/>
    <w:rsid w:val="006D42AD"/>
    <w:rsid w:val="006D4BA3"/>
    <w:rsid w:val="006D5B15"/>
    <w:rsid w:val="006D5C62"/>
    <w:rsid w:val="006D61B1"/>
    <w:rsid w:val="006D642C"/>
    <w:rsid w:val="006E0A19"/>
    <w:rsid w:val="006E10C0"/>
    <w:rsid w:val="006E3A9C"/>
    <w:rsid w:val="006E555E"/>
    <w:rsid w:val="006F038D"/>
    <w:rsid w:val="006F4239"/>
    <w:rsid w:val="006F7CCC"/>
    <w:rsid w:val="00700CD4"/>
    <w:rsid w:val="00700EA9"/>
    <w:rsid w:val="0070255A"/>
    <w:rsid w:val="00705BEF"/>
    <w:rsid w:val="00706179"/>
    <w:rsid w:val="007113DD"/>
    <w:rsid w:val="00712B84"/>
    <w:rsid w:val="0071430B"/>
    <w:rsid w:val="00714B68"/>
    <w:rsid w:val="00720659"/>
    <w:rsid w:val="007216E8"/>
    <w:rsid w:val="0072201D"/>
    <w:rsid w:val="00722244"/>
    <w:rsid w:val="00724F89"/>
    <w:rsid w:val="007307A9"/>
    <w:rsid w:val="0073152E"/>
    <w:rsid w:val="007320EC"/>
    <w:rsid w:val="00733292"/>
    <w:rsid w:val="0073607E"/>
    <w:rsid w:val="00736663"/>
    <w:rsid w:val="007423FD"/>
    <w:rsid w:val="0074285A"/>
    <w:rsid w:val="00752704"/>
    <w:rsid w:val="00755EE3"/>
    <w:rsid w:val="00756FDC"/>
    <w:rsid w:val="00757990"/>
    <w:rsid w:val="00760C7A"/>
    <w:rsid w:val="007619AD"/>
    <w:rsid w:val="00762330"/>
    <w:rsid w:val="007640E0"/>
    <w:rsid w:val="007652B1"/>
    <w:rsid w:val="00770616"/>
    <w:rsid w:val="00770E19"/>
    <w:rsid w:val="00772E22"/>
    <w:rsid w:val="0077332B"/>
    <w:rsid w:val="00774257"/>
    <w:rsid w:val="0077510E"/>
    <w:rsid w:val="00775505"/>
    <w:rsid w:val="00776870"/>
    <w:rsid w:val="00776AE1"/>
    <w:rsid w:val="00785621"/>
    <w:rsid w:val="00785B98"/>
    <w:rsid w:val="00785C31"/>
    <w:rsid w:val="00786093"/>
    <w:rsid w:val="0079282E"/>
    <w:rsid w:val="00793276"/>
    <w:rsid w:val="007A01B4"/>
    <w:rsid w:val="007A03BE"/>
    <w:rsid w:val="007A07E5"/>
    <w:rsid w:val="007A136C"/>
    <w:rsid w:val="007A385D"/>
    <w:rsid w:val="007A386A"/>
    <w:rsid w:val="007A3E79"/>
    <w:rsid w:val="007A463F"/>
    <w:rsid w:val="007A6D8A"/>
    <w:rsid w:val="007A6E41"/>
    <w:rsid w:val="007A7362"/>
    <w:rsid w:val="007B0667"/>
    <w:rsid w:val="007B5332"/>
    <w:rsid w:val="007B5A17"/>
    <w:rsid w:val="007B6444"/>
    <w:rsid w:val="007B648A"/>
    <w:rsid w:val="007B7729"/>
    <w:rsid w:val="007C2153"/>
    <w:rsid w:val="007C35F5"/>
    <w:rsid w:val="007C66DE"/>
    <w:rsid w:val="007C6BA0"/>
    <w:rsid w:val="007D0768"/>
    <w:rsid w:val="007D224F"/>
    <w:rsid w:val="007D62F3"/>
    <w:rsid w:val="007D7B7B"/>
    <w:rsid w:val="007E0C8A"/>
    <w:rsid w:val="007E0E50"/>
    <w:rsid w:val="007E1D53"/>
    <w:rsid w:val="007E3816"/>
    <w:rsid w:val="007E513A"/>
    <w:rsid w:val="007E7F9B"/>
    <w:rsid w:val="007F085E"/>
    <w:rsid w:val="007F181D"/>
    <w:rsid w:val="007F291E"/>
    <w:rsid w:val="007F310C"/>
    <w:rsid w:val="007F35EA"/>
    <w:rsid w:val="007F3ED4"/>
    <w:rsid w:val="007F50F2"/>
    <w:rsid w:val="007F5700"/>
    <w:rsid w:val="007F6EAE"/>
    <w:rsid w:val="007F79E2"/>
    <w:rsid w:val="00800241"/>
    <w:rsid w:val="00802548"/>
    <w:rsid w:val="00802890"/>
    <w:rsid w:val="00802957"/>
    <w:rsid w:val="00802B47"/>
    <w:rsid w:val="008062A9"/>
    <w:rsid w:val="00811B0B"/>
    <w:rsid w:val="00813869"/>
    <w:rsid w:val="008140FD"/>
    <w:rsid w:val="00814AA6"/>
    <w:rsid w:val="008153A8"/>
    <w:rsid w:val="00823389"/>
    <w:rsid w:val="008267EE"/>
    <w:rsid w:val="0083050D"/>
    <w:rsid w:val="008323A2"/>
    <w:rsid w:val="00832E9B"/>
    <w:rsid w:val="008337B9"/>
    <w:rsid w:val="008376CD"/>
    <w:rsid w:val="00842CC4"/>
    <w:rsid w:val="008432ED"/>
    <w:rsid w:val="00843F7D"/>
    <w:rsid w:val="008450F3"/>
    <w:rsid w:val="0084547A"/>
    <w:rsid w:val="00847D03"/>
    <w:rsid w:val="0085383D"/>
    <w:rsid w:val="00854402"/>
    <w:rsid w:val="00855260"/>
    <w:rsid w:val="00855B44"/>
    <w:rsid w:val="008567DF"/>
    <w:rsid w:val="008573F8"/>
    <w:rsid w:val="00860271"/>
    <w:rsid w:val="00861C01"/>
    <w:rsid w:val="0086227D"/>
    <w:rsid w:val="00863FEE"/>
    <w:rsid w:val="00864BC4"/>
    <w:rsid w:val="008653E0"/>
    <w:rsid w:val="00865DD0"/>
    <w:rsid w:val="008730BB"/>
    <w:rsid w:val="0087559D"/>
    <w:rsid w:val="00875F5A"/>
    <w:rsid w:val="008772A5"/>
    <w:rsid w:val="00880B5C"/>
    <w:rsid w:val="00881CA9"/>
    <w:rsid w:val="00883821"/>
    <w:rsid w:val="0088473E"/>
    <w:rsid w:val="0088500C"/>
    <w:rsid w:val="0088679A"/>
    <w:rsid w:val="00886EBC"/>
    <w:rsid w:val="008877B6"/>
    <w:rsid w:val="0089014A"/>
    <w:rsid w:val="008902CF"/>
    <w:rsid w:val="008966E9"/>
    <w:rsid w:val="008A4A34"/>
    <w:rsid w:val="008B0BAD"/>
    <w:rsid w:val="008B188A"/>
    <w:rsid w:val="008B4A3B"/>
    <w:rsid w:val="008B507F"/>
    <w:rsid w:val="008B56E5"/>
    <w:rsid w:val="008B5945"/>
    <w:rsid w:val="008B6065"/>
    <w:rsid w:val="008C1F77"/>
    <w:rsid w:val="008C3226"/>
    <w:rsid w:val="008C32CE"/>
    <w:rsid w:val="008C551F"/>
    <w:rsid w:val="008C74E3"/>
    <w:rsid w:val="008D1223"/>
    <w:rsid w:val="008D323E"/>
    <w:rsid w:val="008D37FF"/>
    <w:rsid w:val="008D3CFE"/>
    <w:rsid w:val="008D43EB"/>
    <w:rsid w:val="008D476B"/>
    <w:rsid w:val="008D5822"/>
    <w:rsid w:val="008D5E6C"/>
    <w:rsid w:val="008D7F16"/>
    <w:rsid w:val="008E08E2"/>
    <w:rsid w:val="008E160B"/>
    <w:rsid w:val="008E2639"/>
    <w:rsid w:val="008E3155"/>
    <w:rsid w:val="008E4534"/>
    <w:rsid w:val="008E54DB"/>
    <w:rsid w:val="008F1045"/>
    <w:rsid w:val="008F31D7"/>
    <w:rsid w:val="008F350F"/>
    <w:rsid w:val="008F45DF"/>
    <w:rsid w:val="009003F3"/>
    <w:rsid w:val="00900680"/>
    <w:rsid w:val="00900E50"/>
    <w:rsid w:val="009018E4"/>
    <w:rsid w:val="00901CB5"/>
    <w:rsid w:val="00903BED"/>
    <w:rsid w:val="00905613"/>
    <w:rsid w:val="00905BF1"/>
    <w:rsid w:val="009111B0"/>
    <w:rsid w:val="00913572"/>
    <w:rsid w:val="00915EF9"/>
    <w:rsid w:val="009171E7"/>
    <w:rsid w:val="00917A3B"/>
    <w:rsid w:val="0092087F"/>
    <w:rsid w:val="00920DCF"/>
    <w:rsid w:val="00922E57"/>
    <w:rsid w:val="0092377F"/>
    <w:rsid w:val="009308D8"/>
    <w:rsid w:val="00930DF7"/>
    <w:rsid w:val="00932291"/>
    <w:rsid w:val="00936821"/>
    <w:rsid w:val="00936E5D"/>
    <w:rsid w:val="00941B36"/>
    <w:rsid w:val="0094276A"/>
    <w:rsid w:val="00942C75"/>
    <w:rsid w:val="00944FA7"/>
    <w:rsid w:val="00951195"/>
    <w:rsid w:val="00952045"/>
    <w:rsid w:val="00952BA5"/>
    <w:rsid w:val="009554FB"/>
    <w:rsid w:val="00957AAA"/>
    <w:rsid w:val="00957EEC"/>
    <w:rsid w:val="0096218E"/>
    <w:rsid w:val="00963696"/>
    <w:rsid w:val="009642E6"/>
    <w:rsid w:val="009645E2"/>
    <w:rsid w:val="009659E8"/>
    <w:rsid w:val="00965CCC"/>
    <w:rsid w:val="00972BCD"/>
    <w:rsid w:val="0097304E"/>
    <w:rsid w:val="0097647D"/>
    <w:rsid w:val="00976B70"/>
    <w:rsid w:val="00980FC5"/>
    <w:rsid w:val="00983752"/>
    <w:rsid w:val="00983EF6"/>
    <w:rsid w:val="009853D3"/>
    <w:rsid w:val="00987939"/>
    <w:rsid w:val="009927BE"/>
    <w:rsid w:val="00992BDC"/>
    <w:rsid w:val="00994EDE"/>
    <w:rsid w:val="009959F3"/>
    <w:rsid w:val="00995FFE"/>
    <w:rsid w:val="009A11C1"/>
    <w:rsid w:val="009A27F7"/>
    <w:rsid w:val="009A292D"/>
    <w:rsid w:val="009A4CAF"/>
    <w:rsid w:val="009A698F"/>
    <w:rsid w:val="009A69B5"/>
    <w:rsid w:val="009B0A5E"/>
    <w:rsid w:val="009B0D73"/>
    <w:rsid w:val="009B3167"/>
    <w:rsid w:val="009B34FA"/>
    <w:rsid w:val="009C020C"/>
    <w:rsid w:val="009C37E9"/>
    <w:rsid w:val="009C44ED"/>
    <w:rsid w:val="009C4F0D"/>
    <w:rsid w:val="009C5700"/>
    <w:rsid w:val="009C5D67"/>
    <w:rsid w:val="009C5FEE"/>
    <w:rsid w:val="009C6763"/>
    <w:rsid w:val="009C692C"/>
    <w:rsid w:val="009C698C"/>
    <w:rsid w:val="009C7A2D"/>
    <w:rsid w:val="009C7CE4"/>
    <w:rsid w:val="009D0585"/>
    <w:rsid w:val="009D4E96"/>
    <w:rsid w:val="009D5036"/>
    <w:rsid w:val="009D72F9"/>
    <w:rsid w:val="009D751B"/>
    <w:rsid w:val="009E18AF"/>
    <w:rsid w:val="009E389E"/>
    <w:rsid w:val="009E3EC8"/>
    <w:rsid w:val="009E4A3B"/>
    <w:rsid w:val="009E5B43"/>
    <w:rsid w:val="009E5D88"/>
    <w:rsid w:val="009E60F3"/>
    <w:rsid w:val="009E759C"/>
    <w:rsid w:val="009F0653"/>
    <w:rsid w:val="009F09C7"/>
    <w:rsid w:val="009F0EF0"/>
    <w:rsid w:val="009F4229"/>
    <w:rsid w:val="009F60C6"/>
    <w:rsid w:val="009F784B"/>
    <w:rsid w:val="009F7FCB"/>
    <w:rsid w:val="00A00B17"/>
    <w:rsid w:val="00A01568"/>
    <w:rsid w:val="00A01F50"/>
    <w:rsid w:val="00A026A3"/>
    <w:rsid w:val="00A04324"/>
    <w:rsid w:val="00A1042E"/>
    <w:rsid w:val="00A123C0"/>
    <w:rsid w:val="00A148E4"/>
    <w:rsid w:val="00A155BB"/>
    <w:rsid w:val="00A1794D"/>
    <w:rsid w:val="00A207E1"/>
    <w:rsid w:val="00A21F58"/>
    <w:rsid w:val="00A220C6"/>
    <w:rsid w:val="00A2358C"/>
    <w:rsid w:val="00A2663A"/>
    <w:rsid w:val="00A274F7"/>
    <w:rsid w:val="00A31C85"/>
    <w:rsid w:val="00A3243C"/>
    <w:rsid w:val="00A32C2E"/>
    <w:rsid w:val="00A33A9E"/>
    <w:rsid w:val="00A45DC2"/>
    <w:rsid w:val="00A5260B"/>
    <w:rsid w:val="00A54E3F"/>
    <w:rsid w:val="00A55EE5"/>
    <w:rsid w:val="00A57A9D"/>
    <w:rsid w:val="00A61F62"/>
    <w:rsid w:val="00A623DF"/>
    <w:rsid w:val="00A62D1A"/>
    <w:rsid w:val="00A634D1"/>
    <w:rsid w:val="00A65638"/>
    <w:rsid w:val="00A67B5E"/>
    <w:rsid w:val="00A70947"/>
    <w:rsid w:val="00A72E16"/>
    <w:rsid w:val="00A73593"/>
    <w:rsid w:val="00A76003"/>
    <w:rsid w:val="00A76D78"/>
    <w:rsid w:val="00A83140"/>
    <w:rsid w:val="00A835D7"/>
    <w:rsid w:val="00A84083"/>
    <w:rsid w:val="00A843DA"/>
    <w:rsid w:val="00A84830"/>
    <w:rsid w:val="00A850C2"/>
    <w:rsid w:val="00A90C11"/>
    <w:rsid w:val="00A91068"/>
    <w:rsid w:val="00A96197"/>
    <w:rsid w:val="00A97B5A"/>
    <w:rsid w:val="00AA2334"/>
    <w:rsid w:val="00AA4DC4"/>
    <w:rsid w:val="00AA6878"/>
    <w:rsid w:val="00AA6A42"/>
    <w:rsid w:val="00AA77BB"/>
    <w:rsid w:val="00AB012E"/>
    <w:rsid w:val="00AB05C6"/>
    <w:rsid w:val="00AB3244"/>
    <w:rsid w:val="00AB61D0"/>
    <w:rsid w:val="00AB66D7"/>
    <w:rsid w:val="00AB694F"/>
    <w:rsid w:val="00AC093C"/>
    <w:rsid w:val="00AC3070"/>
    <w:rsid w:val="00AC32C6"/>
    <w:rsid w:val="00AC5552"/>
    <w:rsid w:val="00AC62D4"/>
    <w:rsid w:val="00AC6A68"/>
    <w:rsid w:val="00AD0F8F"/>
    <w:rsid w:val="00AD191B"/>
    <w:rsid w:val="00AD7BA1"/>
    <w:rsid w:val="00AE1F90"/>
    <w:rsid w:val="00AE3B6A"/>
    <w:rsid w:val="00AE3D62"/>
    <w:rsid w:val="00AF1933"/>
    <w:rsid w:val="00AF4C9F"/>
    <w:rsid w:val="00AF5247"/>
    <w:rsid w:val="00AF6851"/>
    <w:rsid w:val="00AF78C6"/>
    <w:rsid w:val="00AF7CB4"/>
    <w:rsid w:val="00B00961"/>
    <w:rsid w:val="00B017A1"/>
    <w:rsid w:val="00B01ADE"/>
    <w:rsid w:val="00B02383"/>
    <w:rsid w:val="00B06BA6"/>
    <w:rsid w:val="00B10A17"/>
    <w:rsid w:val="00B12237"/>
    <w:rsid w:val="00B12F3C"/>
    <w:rsid w:val="00B133E0"/>
    <w:rsid w:val="00B15266"/>
    <w:rsid w:val="00B15FF3"/>
    <w:rsid w:val="00B22EB0"/>
    <w:rsid w:val="00B22F00"/>
    <w:rsid w:val="00B231C9"/>
    <w:rsid w:val="00B24FF7"/>
    <w:rsid w:val="00B25051"/>
    <w:rsid w:val="00B2543C"/>
    <w:rsid w:val="00B26192"/>
    <w:rsid w:val="00B262CD"/>
    <w:rsid w:val="00B27809"/>
    <w:rsid w:val="00B316D1"/>
    <w:rsid w:val="00B31A0A"/>
    <w:rsid w:val="00B3303F"/>
    <w:rsid w:val="00B333D6"/>
    <w:rsid w:val="00B33B11"/>
    <w:rsid w:val="00B33C5E"/>
    <w:rsid w:val="00B35002"/>
    <w:rsid w:val="00B40A66"/>
    <w:rsid w:val="00B41090"/>
    <w:rsid w:val="00B41ACD"/>
    <w:rsid w:val="00B42C5F"/>
    <w:rsid w:val="00B42F30"/>
    <w:rsid w:val="00B43D42"/>
    <w:rsid w:val="00B50955"/>
    <w:rsid w:val="00B50CF4"/>
    <w:rsid w:val="00B57332"/>
    <w:rsid w:val="00B57B39"/>
    <w:rsid w:val="00B60E9C"/>
    <w:rsid w:val="00B61B4F"/>
    <w:rsid w:val="00B61F83"/>
    <w:rsid w:val="00B6632A"/>
    <w:rsid w:val="00B675AF"/>
    <w:rsid w:val="00B67C18"/>
    <w:rsid w:val="00B70DD1"/>
    <w:rsid w:val="00B70FCD"/>
    <w:rsid w:val="00B7156F"/>
    <w:rsid w:val="00B74F51"/>
    <w:rsid w:val="00B74F9C"/>
    <w:rsid w:val="00B769E3"/>
    <w:rsid w:val="00B77E91"/>
    <w:rsid w:val="00B801E0"/>
    <w:rsid w:val="00B80489"/>
    <w:rsid w:val="00B81EE7"/>
    <w:rsid w:val="00B83422"/>
    <w:rsid w:val="00B841C1"/>
    <w:rsid w:val="00B84A70"/>
    <w:rsid w:val="00B8765A"/>
    <w:rsid w:val="00B918ED"/>
    <w:rsid w:val="00B94B4D"/>
    <w:rsid w:val="00B955B3"/>
    <w:rsid w:val="00B96E9E"/>
    <w:rsid w:val="00BA15F6"/>
    <w:rsid w:val="00BB0CAA"/>
    <w:rsid w:val="00BB11A8"/>
    <w:rsid w:val="00BB2026"/>
    <w:rsid w:val="00BB2917"/>
    <w:rsid w:val="00BC1BD9"/>
    <w:rsid w:val="00BC287E"/>
    <w:rsid w:val="00BC2BC9"/>
    <w:rsid w:val="00BC313D"/>
    <w:rsid w:val="00BC3B43"/>
    <w:rsid w:val="00BC52DF"/>
    <w:rsid w:val="00BC5535"/>
    <w:rsid w:val="00BD0BB7"/>
    <w:rsid w:val="00BD1289"/>
    <w:rsid w:val="00BD6A1A"/>
    <w:rsid w:val="00BD70D2"/>
    <w:rsid w:val="00BE02A7"/>
    <w:rsid w:val="00BE05D1"/>
    <w:rsid w:val="00BE2788"/>
    <w:rsid w:val="00BE4122"/>
    <w:rsid w:val="00BE6A7C"/>
    <w:rsid w:val="00BE6F4C"/>
    <w:rsid w:val="00BE7E70"/>
    <w:rsid w:val="00BF1D55"/>
    <w:rsid w:val="00BF255F"/>
    <w:rsid w:val="00BF460C"/>
    <w:rsid w:val="00BF5F9C"/>
    <w:rsid w:val="00BF64D4"/>
    <w:rsid w:val="00BF7188"/>
    <w:rsid w:val="00C01A60"/>
    <w:rsid w:val="00C02F99"/>
    <w:rsid w:val="00C03770"/>
    <w:rsid w:val="00C0591A"/>
    <w:rsid w:val="00C05D8E"/>
    <w:rsid w:val="00C06B20"/>
    <w:rsid w:val="00C06CBE"/>
    <w:rsid w:val="00C12254"/>
    <w:rsid w:val="00C123C3"/>
    <w:rsid w:val="00C126DF"/>
    <w:rsid w:val="00C12FFD"/>
    <w:rsid w:val="00C15DBB"/>
    <w:rsid w:val="00C205D1"/>
    <w:rsid w:val="00C22473"/>
    <w:rsid w:val="00C226AD"/>
    <w:rsid w:val="00C25076"/>
    <w:rsid w:val="00C277CB"/>
    <w:rsid w:val="00C3476B"/>
    <w:rsid w:val="00C347CD"/>
    <w:rsid w:val="00C369C9"/>
    <w:rsid w:val="00C444EA"/>
    <w:rsid w:val="00C46291"/>
    <w:rsid w:val="00C50DF8"/>
    <w:rsid w:val="00C5114A"/>
    <w:rsid w:val="00C51558"/>
    <w:rsid w:val="00C552B9"/>
    <w:rsid w:val="00C55BB5"/>
    <w:rsid w:val="00C56947"/>
    <w:rsid w:val="00C61F30"/>
    <w:rsid w:val="00C622ED"/>
    <w:rsid w:val="00C633FC"/>
    <w:rsid w:val="00C64953"/>
    <w:rsid w:val="00C66AE8"/>
    <w:rsid w:val="00C73A98"/>
    <w:rsid w:val="00C745E3"/>
    <w:rsid w:val="00C75C2E"/>
    <w:rsid w:val="00C766EF"/>
    <w:rsid w:val="00C773FC"/>
    <w:rsid w:val="00C807AA"/>
    <w:rsid w:val="00C80EE6"/>
    <w:rsid w:val="00C816F6"/>
    <w:rsid w:val="00C817A7"/>
    <w:rsid w:val="00C861B2"/>
    <w:rsid w:val="00C8693D"/>
    <w:rsid w:val="00C86975"/>
    <w:rsid w:val="00C87AF3"/>
    <w:rsid w:val="00C9196E"/>
    <w:rsid w:val="00CA0B67"/>
    <w:rsid w:val="00CA2A8B"/>
    <w:rsid w:val="00CA35F4"/>
    <w:rsid w:val="00CA3AAF"/>
    <w:rsid w:val="00CA3B29"/>
    <w:rsid w:val="00CA3F61"/>
    <w:rsid w:val="00CA65E9"/>
    <w:rsid w:val="00CB4339"/>
    <w:rsid w:val="00CB49F9"/>
    <w:rsid w:val="00CB6A55"/>
    <w:rsid w:val="00CC06D4"/>
    <w:rsid w:val="00CC1890"/>
    <w:rsid w:val="00CC33CC"/>
    <w:rsid w:val="00CC3AAF"/>
    <w:rsid w:val="00CC480B"/>
    <w:rsid w:val="00CC72C5"/>
    <w:rsid w:val="00CC7310"/>
    <w:rsid w:val="00CD1A18"/>
    <w:rsid w:val="00CD20F4"/>
    <w:rsid w:val="00CD332E"/>
    <w:rsid w:val="00CD41C2"/>
    <w:rsid w:val="00CD47AF"/>
    <w:rsid w:val="00CD521B"/>
    <w:rsid w:val="00CE06FC"/>
    <w:rsid w:val="00CE0E96"/>
    <w:rsid w:val="00CE4335"/>
    <w:rsid w:val="00CE665F"/>
    <w:rsid w:val="00CF1574"/>
    <w:rsid w:val="00CF197E"/>
    <w:rsid w:val="00CF2158"/>
    <w:rsid w:val="00CF2467"/>
    <w:rsid w:val="00CF3A6A"/>
    <w:rsid w:val="00CF5040"/>
    <w:rsid w:val="00CF64B9"/>
    <w:rsid w:val="00D0229F"/>
    <w:rsid w:val="00D024BD"/>
    <w:rsid w:val="00D03331"/>
    <w:rsid w:val="00D073EA"/>
    <w:rsid w:val="00D117A9"/>
    <w:rsid w:val="00D11EA9"/>
    <w:rsid w:val="00D12776"/>
    <w:rsid w:val="00D12D35"/>
    <w:rsid w:val="00D13B46"/>
    <w:rsid w:val="00D1451A"/>
    <w:rsid w:val="00D15702"/>
    <w:rsid w:val="00D17DB4"/>
    <w:rsid w:val="00D2092D"/>
    <w:rsid w:val="00D241AC"/>
    <w:rsid w:val="00D31AFE"/>
    <w:rsid w:val="00D332D6"/>
    <w:rsid w:val="00D33660"/>
    <w:rsid w:val="00D346FC"/>
    <w:rsid w:val="00D35444"/>
    <w:rsid w:val="00D3691D"/>
    <w:rsid w:val="00D371C4"/>
    <w:rsid w:val="00D41244"/>
    <w:rsid w:val="00D41ADE"/>
    <w:rsid w:val="00D459D0"/>
    <w:rsid w:val="00D471D1"/>
    <w:rsid w:val="00D50B46"/>
    <w:rsid w:val="00D50E81"/>
    <w:rsid w:val="00D54329"/>
    <w:rsid w:val="00D560EF"/>
    <w:rsid w:val="00D56918"/>
    <w:rsid w:val="00D56A55"/>
    <w:rsid w:val="00D60EC2"/>
    <w:rsid w:val="00D634D8"/>
    <w:rsid w:val="00D63C2D"/>
    <w:rsid w:val="00D64983"/>
    <w:rsid w:val="00D651FF"/>
    <w:rsid w:val="00D65275"/>
    <w:rsid w:val="00D65A32"/>
    <w:rsid w:val="00D71DEB"/>
    <w:rsid w:val="00D72A27"/>
    <w:rsid w:val="00D73882"/>
    <w:rsid w:val="00D73A55"/>
    <w:rsid w:val="00D80609"/>
    <w:rsid w:val="00D819B9"/>
    <w:rsid w:val="00D82BB6"/>
    <w:rsid w:val="00D83C6B"/>
    <w:rsid w:val="00D83EBA"/>
    <w:rsid w:val="00D8505B"/>
    <w:rsid w:val="00D9196B"/>
    <w:rsid w:val="00D93FF6"/>
    <w:rsid w:val="00D94BB7"/>
    <w:rsid w:val="00D96CBF"/>
    <w:rsid w:val="00DA100A"/>
    <w:rsid w:val="00DA1053"/>
    <w:rsid w:val="00DA25AD"/>
    <w:rsid w:val="00DA27D8"/>
    <w:rsid w:val="00DA4E6F"/>
    <w:rsid w:val="00DA6890"/>
    <w:rsid w:val="00DA73E5"/>
    <w:rsid w:val="00DA74AE"/>
    <w:rsid w:val="00DB0013"/>
    <w:rsid w:val="00DB0090"/>
    <w:rsid w:val="00DB030D"/>
    <w:rsid w:val="00DB1679"/>
    <w:rsid w:val="00DB57CF"/>
    <w:rsid w:val="00DB60D3"/>
    <w:rsid w:val="00DC0EF6"/>
    <w:rsid w:val="00DC2F1C"/>
    <w:rsid w:val="00DC2F84"/>
    <w:rsid w:val="00DC4BA2"/>
    <w:rsid w:val="00DC79B4"/>
    <w:rsid w:val="00DD19A2"/>
    <w:rsid w:val="00DD4C8D"/>
    <w:rsid w:val="00DD6134"/>
    <w:rsid w:val="00DD70C2"/>
    <w:rsid w:val="00DD7187"/>
    <w:rsid w:val="00DD7FB4"/>
    <w:rsid w:val="00DE14AA"/>
    <w:rsid w:val="00DE1C6F"/>
    <w:rsid w:val="00DE477C"/>
    <w:rsid w:val="00DE6206"/>
    <w:rsid w:val="00DE7CB6"/>
    <w:rsid w:val="00DF1C7E"/>
    <w:rsid w:val="00DF269B"/>
    <w:rsid w:val="00DF4AB0"/>
    <w:rsid w:val="00DF66EE"/>
    <w:rsid w:val="00DF6776"/>
    <w:rsid w:val="00E00245"/>
    <w:rsid w:val="00E00371"/>
    <w:rsid w:val="00E02C20"/>
    <w:rsid w:val="00E03B49"/>
    <w:rsid w:val="00E03CD2"/>
    <w:rsid w:val="00E04E2C"/>
    <w:rsid w:val="00E05FBF"/>
    <w:rsid w:val="00E0694A"/>
    <w:rsid w:val="00E07A31"/>
    <w:rsid w:val="00E11850"/>
    <w:rsid w:val="00E17346"/>
    <w:rsid w:val="00E178B5"/>
    <w:rsid w:val="00E21BE2"/>
    <w:rsid w:val="00E22994"/>
    <w:rsid w:val="00E23047"/>
    <w:rsid w:val="00E23270"/>
    <w:rsid w:val="00E244C3"/>
    <w:rsid w:val="00E309FD"/>
    <w:rsid w:val="00E3185A"/>
    <w:rsid w:val="00E31EA8"/>
    <w:rsid w:val="00E403D4"/>
    <w:rsid w:val="00E403F2"/>
    <w:rsid w:val="00E40561"/>
    <w:rsid w:val="00E414F9"/>
    <w:rsid w:val="00E4181F"/>
    <w:rsid w:val="00E469BB"/>
    <w:rsid w:val="00E474C8"/>
    <w:rsid w:val="00E50150"/>
    <w:rsid w:val="00E5049F"/>
    <w:rsid w:val="00E504D8"/>
    <w:rsid w:val="00E52CBB"/>
    <w:rsid w:val="00E53FC7"/>
    <w:rsid w:val="00E5672F"/>
    <w:rsid w:val="00E61308"/>
    <w:rsid w:val="00E61E70"/>
    <w:rsid w:val="00E632DC"/>
    <w:rsid w:val="00E64653"/>
    <w:rsid w:val="00E64D3E"/>
    <w:rsid w:val="00E66B08"/>
    <w:rsid w:val="00E671E9"/>
    <w:rsid w:val="00E67E38"/>
    <w:rsid w:val="00E74FEC"/>
    <w:rsid w:val="00E7533C"/>
    <w:rsid w:val="00E76995"/>
    <w:rsid w:val="00E80E43"/>
    <w:rsid w:val="00E82660"/>
    <w:rsid w:val="00E8311C"/>
    <w:rsid w:val="00E84F51"/>
    <w:rsid w:val="00E879A7"/>
    <w:rsid w:val="00E87A04"/>
    <w:rsid w:val="00E9119A"/>
    <w:rsid w:val="00E922B4"/>
    <w:rsid w:val="00E92489"/>
    <w:rsid w:val="00E940B9"/>
    <w:rsid w:val="00E94534"/>
    <w:rsid w:val="00E94F96"/>
    <w:rsid w:val="00E97970"/>
    <w:rsid w:val="00EA3A25"/>
    <w:rsid w:val="00EA4003"/>
    <w:rsid w:val="00EB0151"/>
    <w:rsid w:val="00EB2B49"/>
    <w:rsid w:val="00EB354F"/>
    <w:rsid w:val="00EB3C98"/>
    <w:rsid w:val="00EB5B3E"/>
    <w:rsid w:val="00EB7BFA"/>
    <w:rsid w:val="00EB7ED2"/>
    <w:rsid w:val="00EC3B2E"/>
    <w:rsid w:val="00EC43C8"/>
    <w:rsid w:val="00EC50AC"/>
    <w:rsid w:val="00EC515F"/>
    <w:rsid w:val="00EC5B1E"/>
    <w:rsid w:val="00ED1806"/>
    <w:rsid w:val="00ED205C"/>
    <w:rsid w:val="00ED36BD"/>
    <w:rsid w:val="00ED3F02"/>
    <w:rsid w:val="00ED457C"/>
    <w:rsid w:val="00ED73AE"/>
    <w:rsid w:val="00EE0709"/>
    <w:rsid w:val="00EE0B92"/>
    <w:rsid w:val="00EE0E07"/>
    <w:rsid w:val="00EE0F0E"/>
    <w:rsid w:val="00EE12C8"/>
    <w:rsid w:val="00EE2093"/>
    <w:rsid w:val="00EE2860"/>
    <w:rsid w:val="00EE68D2"/>
    <w:rsid w:val="00EF064D"/>
    <w:rsid w:val="00EF14B7"/>
    <w:rsid w:val="00EF3F0F"/>
    <w:rsid w:val="00EF44AD"/>
    <w:rsid w:val="00F014F8"/>
    <w:rsid w:val="00F03E86"/>
    <w:rsid w:val="00F04204"/>
    <w:rsid w:val="00F06268"/>
    <w:rsid w:val="00F0779F"/>
    <w:rsid w:val="00F13937"/>
    <w:rsid w:val="00F13F80"/>
    <w:rsid w:val="00F14F4B"/>
    <w:rsid w:val="00F17267"/>
    <w:rsid w:val="00F22886"/>
    <w:rsid w:val="00F2468C"/>
    <w:rsid w:val="00F27587"/>
    <w:rsid w:val="00F304D4"/>
    <w:rsid w:val="00F307F9"/>
    <w:rsid w:val="00F30D89"/>
    <w:rsid w:val="00F3131F"/>
    <w:rsid w:val="00F32538"/>
    <w:rsid w:val="00F33862"/>
    <w:rsid w:val="00F34A00"/>
    <w:rsid w:val="00F34D93"/>
    <w:rsid w:val="00F421B3"/>
    <w:rsid w:val="00F4320A"/>
    <w:rsid w:val="00F4389F"/>
    <w:rsid w:val="00F4580E"/>
    <w:rsid w:val="00F479D0"/>
    <w:rsid w:val="00F62AEB"/>
    <w:rsid w:val="00F66A6D"/>
    <w:rsid w:val="00F707BD"/>
    <w:rsid w:val="00F72010"/>
    <w:rsid w:val="00F72239"/>
    <w:rsid w:val="00F7332D"/>
    <w:rsid w:val="00F7477C"/>
    <w:rsid w:val="00F76428"/>
    <w:rsid w:val="00F77798"/>
    <w:rsid w:val="00F77B4D"/>
    <w:rsid w:val="00F81471"/>
    <w:rsid w:val="00F820F7"/>
    <w:rsid w:val="00F83A44"/>
    <w:rsid w:val="00F85C22"/>
    <w:rsid w:val="00F867B6"/>
    <w:rsid w:val="00F86B12"/>
    <w:rsid w:val="00F87AC6"/>
    <w:rsid w:val="00F9085A"/>
    <w:rsid w:val="00F91B05"/>
    <w:rsid w:val="00F94E53"/>
    <w:rsid w:val="00F959D8"/>
    <w:rsid w:val="00F979AC"/>
    <w:rsid w:val="00FA038F"/>
    <w:rsid w:val="00FA6353"/>
    <w:rsid w:val="00FB32DE"/>
    <w:rsid w:val="00FB3ADA"/>
    <w:rsid w:val="00FB3F63"/>
    <w:rsid w:val="00FB6425"/>
    <w:rsid w:val="00FB6D62"/>
    <w:rsid w:val="00FB7A50"/>
    <w:rsid w:val="00FC0DF5"/>
    <w:rsid w:val="00FC2436"/>
    <w:rsid w:val="00FC44B5"/>
    <w:rsid w:val="00FC6127"/>
    <w:rsid w:val="00FC79F6"/>
    <w:rsid w:val="00FC7A4D"/>
    <w:rsid w:val="00FD08A0"/>
    <w:rsid w:val="00FD1F63"/>
    <w:rsid w:val="00FD27C2"/>
    <w:rsid w:val="00FD2E42"/>
    <w:rsid w:val="00FD4AA6"/>
    <w:rsid w:val="00FE1394"/>
    <w:rsid w:val="00FE2B9E"/>
    <w:rsid w:val="00FE6123"/>
    <w:rsid w:val="00FE6555"/>
    <w:rsid w:val="00FE6E03"/>
    <w:rsid w:val="00FE7B58"/>
    <w:rsid w:val="00FF0536"/>
    <w:rsid w:val="00FF1681"/>
    <w:rsid w:val="00FF51E1"/>
    <w:rsid w:val="00FF5862"/>
    <w:rsid w:val="018C085F"/>
    <w:rsid w:val="035756EB"/>
    <w:rsid w:val="03C3706E"/>
    <w:rsid w:val="052678D2"/>
    <w:rsid w:val="06DF3581"/>
    <w:rsid w:val="0A2640E4"/>
    <w:rsid w:val="0B5E08B7"/>
    <w:rsid w:val="0CBA46B3"/>
    <w:rsid w:val="0CD410C8"/>
    <w:rsid w:val="10015D22"/>
    <w:rsid w:val="10D27A7E"/>
    <w:rsid w:val="12031B58"/>
    <w:rsid w:val="12CE4580"/>
    <w:rsid w:val="14727ABB"/>
    <w:rsid w:val="1633660B"/>
    <w:rsid w:val="182C352A"/>
    <w:rsid w:val="1B091A97"/>
    <w:rsid w:val="1C04486E"/>
    <w:rsid w:val="1CE871FD"/>
    <w:rsid w:val="1D4E2CAF"/>
    <w:rsid w:val="1D917FEC"/>
    <w:rsid w:val="1F2465AE"/>
    <w:rsid w:val="223A11B5"/>
    <w:rsid w:val="22FA2700"/>
    <w:rsid w:val="24032E22"/>
    <w:rsid w:val="245F0FC8"/>
    <w:rsid w:val="259671F9"/>
    <w:rsid w:val="26846175"/>
    <w:rsid w:val="27201032"/>
    <w:rsid w:val="28BB4620"/>
    <w:rsid w:val="298E1762"/>
    <w:rsid w:val="2D22651C"/>
    <w:rsid w:val="2DBA403D"/>
    <w:rsid w:val="2E5C3FC8"/>
    <w:rsid w:val="2E9F27F8"/>
    <w:rsid w:val="2EA855EA"/>
    <w:rsid w:val="2EC52E30"/>
    <w:rsid w:val="300C3A24"/>
    <w:rsid w:val="330A623F"/>
    <w:rsid w:val="335C2374"/>
    <w:rsid w:val="338A2245"/>
    <w:rsid w:val="345011CA"/>
    <w:rsid w:val="354D1DB2"/>
    <w:rsid w:val="36363A93"/>
    <w:rsid w:val="364A2160"/>
    <w:rsid w:val="37CA5B16"/>
    <w:rsid w:val="37F779CB"/>
    <w:rsid w:val="38E1010B"/>
    <w:rsid w:val="3B0A0C9D"/>
    <w:rsid w:val="3B8260E5"/>
    <w:rsid w:val="3C91192E"/>
    <w:rsid w:val="3E6170FD"/>
    <w:rsid w:val="3FB805D0"/>
    <w:rsid w:val="4148218A"/>
    <w:rsid w:val="41B601B4"/>
    <w:rsid w:val="42836989"/>
    <w:rsid w:val="43020921"/>
    <w:rsid w:val="448D4A83"/>
    <w:rsid w:val="449479F1"/>
    <w:rsid w:val="455A2758"/>
    <w:rsid w:val="455C39C2"/>
    <w:rsid w:val="47356E70"/>
    <w:rsid w:val="47524326"/>
    <w:rsid w:val="4794153F"/>
    <w:rsid w:val="48D5314E"/>
    <w:rsid w:val="49B7019D"/>
    <w:rsid w:val="49D255C4"/>
    <w:rsid w:val="4C100C5A"/>
    <w:rsid w:val="4D8352B9"/>
    <w:rsid w:val="4ECF0762"/>
    <w:rsid w:val="50051124"/>
    <w:rsid w:val="5190773A"/>
    <w:rsid w:val="51B24B0E"/>
    <w:rsid w:val="52AE775C"/>
    <w:rsid w:val="52E91829"/>
    <w:rsid w:val="531D5B22"/>
    <w:rsid w:val="53416290"/>
    <w:rsid w:val="538F119C"/>
    <w:rsid w:val="53AC58A5"/>
    <w:rsid w:val="546766CA"/>
    <w:rsid w:val="558879FE"/>
    <w:rsid w:val="55C74D2F"/>
    <w:rsid w:val="572E32B3"/>
    <w:rsid w:val="58915747"/>
    <w:rsid w:val="59CB64A7"/>
    <w:rsid w:val="59F37DAF"/>
    <w:rsid w:val="5C0A1E9A"/>
    <w:rsid w:val="5C593EAF"/>
    <w:rsid w:val="5D63417B"/>
    <w:rsid w:val="60C76A50"/>
    <w:rsid w:val="60DB1313"/>
    <w:rsid w:val="60FE76C2"/>
    <w:rsid w:val="61B23145"/>
    <w:rsid w:val="61D020C1"/>
    <w:rsid w:val="61FA27BB"/>
    <w:rsid w:val="634E1302"/>
    <w:rsid w:val="64682E71"/>
    <w:rsid w:val="64DC4668"/>
    <w:rsid w:val="66E64E7C"/>
    <w:rsid w:val="696603AD"/>
    <w:rsid w:val="6A841BD5"/>
    <w:rsid w:val="6B31467F"/>
    <w:rsid w:val="6CFC2298"/>
    <w:rsid w:val="6FDE3B11"/>
    <w:rsid w:val="6FF84353"/>
    <w:rsid w:val="6FFB92A4"/>
    <w:rsid w:val="706D03F4"/>
    <w:rsid w:val="73120C63"/>
    <w:rsid w:val="75790F84"/>
    <w:rsid w:val="75E73437"/>
    <w:rsid w:val="77B530EB"/>
    <w:rsid w:val="77CF26E1"/>
    <w:rsid w:val="79F006ED"/>
    <w:rsid w:val="7A6B664D"/>
    <w:rsid w:val="7AAD5D10"/>
    <w:rsid w:val="7CA51739"/>
    <w:rsid w:val="7E3420E2"/>
    <w:rsid w:val="7FF963E6"/>
    <w:rsid w:val="A5F77DBC"/>
    <w:rsid w:val="BE1FF691"/>
    <w:rsid w:val="FCFF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3"/>
    <w:next w:val="3"/>
    <w:link w:val="23"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Emphasis"/>
    <w:basedOn w:val="13"/>
    <w:qFormat/>
    <w:uiPriority w:val="20"/>
    <w:rPr>
      <w:i/>
      <w:iCs/>
    </w:rPr>
  </w:style>
  <w:style w:type="character" w:styleId="16">
    <w:name w:val="Hyperlink"/>
    <w:qFormat/>
    <w:uiPriority w:val="0"/>
    <w:rPr>
      <w:color w:val="0068B7"/>
      <w:u w:val="none"/>
    </w:rPr>
  </w:style>
  <w:style w:type="character" w:styleId="17">
    <w:name w:val="annotation reference"/>
    <w:basedOn w:val="13"/>
    <w:qFormat/>
    <w:uiPriority w:val="0"/>
    <w:rPr>
      <w:sz w:val="21"/>
      <w:szCs w:val="21"/>
    </w:rPr>
  </w:style>
  <w:style w:type="character" w:customStyle="1" w:styleId="18">
    <w:name w:val="141"/>
    <w:qFormat/>
    <w:uiPriority w:val="0"/>
    <w:rPr>
      <w:sz w:val="21"/>
      <w:szCs w:val="21"/>
    </w:rPr>
  </w:style>
  <w:style w:type="character" w:customStyle="1" w:styleId="19">
    <w:name w:val="ztag pre"/>
    <w:basedOn w:val="13"/>
    <w:qFormat/>
    <w:uiPriority w:val="0"/>
  </w:style>
  <w:style w:type="character" w:customStyle="1" w:styleId="20">
    <w:name w:val="已访问的超链接1"/>
    <w:qFormat/>
    <w:uiPriority w:val="0"/>
    <w:rPr>
      <w:color w:val="800080"/>
      <w:u w:val="single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文字 字符"/>
    <w:basedOn w:val="13"/>
    <w:link w:val="3"/>
    <w:qFormat/>
    <w:uiPriority w:val="0"/>
    <w:rPr>
      <w:kern w:val="2"/>
      <w:sz w:val="21"/>
      <w:szCs w:val="24"/>
    </w:rPr>
  </w:style>
  <w:style w:type="character" w:customStyle="1" w:styleId="23">
    <w:name w:val="批注主题 字符"/>
    <w:basedOn w:val="22"/>
    <w:link w:val="10"/>
    <w:qFormat/>
    <w:uiPriority w:val="0"/>
    <w:rPr>
      <w:b/>
      <w:bCs/>
      <w:kern w:val="2"/>
      <w:sz w:val="21"/>
      <w:szCs w:val="24"/>
    </w:rPr>
  </w:style>
  <w:style w:type="character" w:customStyle="1" w:styleId="24">
    <w:name w:val="Unresolved Mention"/>
    <w:basedOn w:val="13"/>
    <w:qFormat/>
    <w:uiPriority w:val="0"/>
    <w:rPr>
      <w:color w:val="605E5C"/>
      <w:shd w:val="clear" w:color="auto" w:fill="E1DFDD"/>
    </w:rPr>
  </w:style>
  <w:style w:type="paragraph" w:customStyle="1" w:styleId="2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26">
    <w:name w:val="无间隔1"/>
    <w:qFormat/>
    <w:uiPriority w:val="1"/>
    <w:rPr>
      <w:rFonts w:ascii="Calibri" w:hAnsi="Calibri" w:eastAsia="Calibri" w:cs="Times New Roman"/>
      <w:sz w:val="22"/>
      <w:szCs w:val="22"/>
      <w:lang w:val="en-US" w:eastAsia="en-US" w:bidi="ar-SA"/>
    </w:rPr>
  </w:style>
  <w:style w:type="paragraph" w:customStyle="1" w:styleId="27">
    <w:name w:val="Table Text"/>
    <w:basedOn w:val="1"/>
    <w:semiHidden/>
    <w:qFormat/>
    <w:uiPriority w:val="0"/>
    <w:rPr>
      <w:rFonts w:ascii="微软雅黑" w:hAnsi="微软雅黑" w:eastAsia="微软雅黑" w:cs="微软雅黑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="http://schemas.openxmlformats.org/officeDocument/2006/bibliography" xmlns:b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1D5DB757-C4FF-4053-BFEA-17F395D43E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6</Pages>
  <Words>2179</Words>
  <Characters>3084</Characters>
  <Lines>21</Lines>
  <Paragraphs>6</Paragraphs>
  <TotalTime>0</TotalTime>
  <ScaleCrop>false</ScaleCrop>
  <LinksUpToDate>false</LinksUpToDate>
  <CharactersWithSpaces>3335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2023-04-12T00:25:00Z</dcterms:created>
  <dc:creator>全美国际教育协会</dc:creator>
  <cp:lastModifiedBy>李晓茜</cp:lastModifiedBy>
  <cp:lastPrinted>2011-12-18T00:54:00Z</cp:lastPrinted>
  <dcterms:modified xsi:type="dcterms:W3CDTF">2023-12-05T07:14:09Z</dcterms:modified>
  <dc:title>加州大学河滨分校短期访学项目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E29A647AFC064964B194C106C561E660_13</vt:lpwstr>
  </property>
</Properties>
</file>