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075AC" w14:textId="6A5FA9E8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73061F5E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76DFE102" w:rsidR="004F68FE" w:rsidRPr="00A8689D" w:rsidRDefault="004F68FE" w:rsidP="004F68FE">
      <w:pPr>
        <w:jc w:val="center"/>
        <w:rPr>
          <w:b/>
          <w:szCs w:val="22"/>
          <w:u w:val="single"/>
        </w:rPr>
      </w:pPr>
      <w:r w:rsidRPr="00A8689D">
        <w:rPr>
          <w:b/>
          <w:szCs w:val="22"/>
          <w:u w:val="single"/>
        </w:rPr>
        <w:t>POST DESCRIPTION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0C487BD6" w:rsidR="00763913" w:rsidRPr="00C03CC3" w:rsidRDefault="005517C9" w:rsidP="00771842">
            <w:pPr>
              <w:pStyle w:val="Title"/>
              <w:jc w:val="left"/>
              <w:rPr>
                <w:szCs w:val="22"/>
              </w:rPr>
            </w:pPr>
            <w:r w:rsidRPr="00C03CC3">
              <w:rPr>
                <w:szCs w:val="22"/>
              </w:rPr>
              <w:t xml:space="preserve">Intern – </w:t>
            </w:r>
            <w:r w:rsidR="00863F77" w:rsidRPr="00C03CC3">
              <w:rPr>
                <w:szCs w:val="22"/>
              </w:rPr>
              <w:t>P</w:t>
            </w:r>
            <w:r w:rsidR="00C03CC3" w:rsidRPr="00C03CC3">
              <w:rPr>
                <w:szCs w:val="22"/>
              </w:rPr>
              <w:t xml:space="preserve">rogramme &amp; </w:t>
            </w:r>
            <w:r w:rsidR="00863F77" w:rsidRPr="00C03CC3">
              <w:rPr>
                <w:szCs w:val="22"/>
              </w:rPr>
              <w:t>P</w:t>
            </w:r>
            <w:r w:rsidR="00C03CC3" w:rsidRPr="00C03CC3">
              <w:rPr>
                <w:szCs w:val="22"/>
              </w:rPr>
              <w:t xml:space="preserve">olicy </w:t>
            </w:r>
            <w:r w:rsidR="00863F77" w:rsidRPr="00C03CC3">
              <w:rPr>
                <w:szCs w:val="22"/>
              </w:rPr>
              <w:t>S</w:t>
            </w:r>
            <w:r w:rsidR="00C03CC3" w:rsidRPr="00C03CC3">
              <w:rPr>
                <w:szCs w:val="22"/>
              </w:rPr>
              <w:t xml:space="preserve">upport </w:t>
            </w:r>
            <w:r w:rsidR="00863F77" w:rsidRPr="00C03CC3">
              <w:rPr>
                <w:szCs w:val="22"/>
              </w:rPr>
              <w:t>U</w:t>
            </w:r>
            <w:r w:rsidR="00C03CC3" w:rsidRPr="00C03CC3">
              <w:rPr>
                <w:szCs w:val="22"/>
              </w:rPr>
              <w:t>nit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C03CC3" w:rsidRDefault="005517C9" w:rsidP="00771842">
            <w:pPr>
              <w:pStyle w:val="Title"/>
              <w:jc w:val="left"/>
              <w:rPr>
                <w:szCs w:val="22"/>
              </w:rPr>
            </w:pPr>
            <w:r w:rsidRPr="00C03CC3">
              <w:rPr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1D27B9A2" w:rsidR="00763913" w:rsidRPr="00C03CC3" w:rsidRDefault="00863F77" w:rsidP="00771842">
            <w:pPr>
              <w:pStyle w:val="Title"/>
              <w:jc w:val="left"/>
              <w:rPr>
                <w:szCs w:val="22"/>
              </w:rPr>
            </w:pPr>
            <w:r w:rsidRPr="00C03CC3">
              <w:rPr>
                <w:szCs w:val="22"/>
              </w:rPr>
              <w:t>Bangkok, Thailand</w:t>
            </w:r>
          </w:p>
        </w:tc>
      </w:tr>
      <w:tr w:rsidR="00763913" w:rsidRPr="00CD72F7" w14:paraId="5A9C3DC9" w14:textId="77777777" w:rsidTr="00771842">
        <w:tc>
          <w:tcPr>
            <w:tcW w:w="3430" w:type="dxa"/>
            <w:shd w:val="clear" w:color="auto" w:fill="auto"/>
          </w:tcPr>
          <w:p w14:paraId="43B0056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number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2CB417D" w14:textId="0FE645AD" w:rsidR="00763913" w:rsidRPr="00C03CC3" w:rsidRDefault="00763913" w:rsidP="00771842">
            <w:pPr>
              <w:pStyle w:val="Title"/>
              <w:jc w:val="left"/>
              <w:rPr>
                <w:szCs w:val="22"/>
              </w:rPr>
            </w:pPr>
          </w:p>
        </w:tc>
      </w:tr>
      <w:tr w:rsidR="00763913" w:rsidRPr="00CD72F7" w14:paraId="09247614" w14:textId="77777777" w:rsidTr="00771842">
        <w:tc>
          <w:tcPr>
            <w:tcW w:w="3430" w:type="dxa"/>
            <w:shd w:val="clear" w:color="auto" w:fill="auto"/>
          </w:tcPr>
          <w:p w14:paraId="36FB3F0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Job family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FACF449" w14:textId="100BB8F8" w:rsidR="00763913" w:rsidRPr="00C03CC3" w:rsidRDefault="00763913" w:rsidP="00771842">
            <w:pPr>
              <w:pStyle w:val="Title"/>
              <w:jc w:val="left"/>
              <w:rPr>
                <w:szCs w:val="22"/>
              </w:rPr>
            </w:pP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766E6C7C" w:rsidR="00763913" w:rsidRPr="00C03CC3" w:rsidRDefault="00863F77" w:rsidP="00771842">
            <w:pPr>
              <w:pStyle w:val="Title"/>
              <w:jc w:val="left"/>
              <w:rPr>
                <w:szCs w:val="22"/>
              </w:rPr>
            </w:pPr>
            <w:r w:rsidRPr="00C03CC3">
              <w:rPr>
                <w:szCs w:val="22"/>
              </w:rPr>
              <w:t xml:space="preserve">Programme </w:t>
            </w:r>
            <w:r w:rsidR="001F5FD4" w:rsidRPr="00C03CC3">
              <w:rPr>
                <w:szCs w:val="22"/>
              </w:rPr>
              <w:t xml:space="preserve">&amp; Policy </w:t>
            </w:r>
            <w:r w:rsidRPr="00C03CC3">
              <w:rPr>
                <w:szCs w:val="22"/>
              </w:rPr>
              <w:t>Support Unit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 xml:space="preserve">ffice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62655C96" w:rsidR="00763913" w:rsidRPr="00C03CC3" w:rsidRDefault="001F5FD4" w:rsidP="00771842">
            <w:pPr>
              <w:pStyle w:val="Title"/>
              <w:jc w:val="left"/>
              <w:rPr>
                <w:szCs w:val="22"/>
              </w:rPr>
            </w:pPr>
            <w:r w:rsidRPr="00C03CC3">
              <w:rPr>
                <w:szCs w:val="22"/>
              </w:rPr>
              <w:t>Country Office</w:t>
            </w:r>
          </w:p>
        </w:tc>
      </w:tr>
      <w:tr w:rsidR="00763913" w:rsidRPr="00CD72F7" w14:paraId="0626C7CF" w14:textId="77777777" w:rsidTr="00771842">
        <w:tc>
          <w:tcPr>
            <w:tcW w:w="3430" w:type="dxa"/>
            <w:shd w:val="clear" w:color="auto" w:fill="auto"/>
          </w:tcPr>
          <w:p w14:paraId="41A471F2" w14:textId="77777777" w:rsidR="00763913" w:rsidRPr="00CD72F7" w:rsidRDefault="00763913" w:rsidP="00771842">
            <w:pPr>
              <w:pStyle w:val="Title"/>
              <w:rPr>
                <w:szCs w:val="22"/>
              </w:rPr>
            </w:pPr>
            <w:r w:rsidRPr="00CD72F7">
              <w:rPr>
                <w:szCs w:val="22"/>
              </w:rPr>
              <w:t xml:space="preserve">Position rated on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CB4261B" w14:textId="39F0C030" w:rsidR="00763913" w:rsidRPr="00C03CC3" w:rsidRDefault="00763913" w:rsidP="00771842">
            <w:pPr>
              <w:pStyle w:val="Title"/>
              <w:rPr>
                <w:szCs w:val="22"/>
              </w:rPr>
            </w:pP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60A20E8F" w:rsidR="00241BC9" w:rsidRPr="00C03CC3" w:rsidRDefault="001F5FD4" w:rsidP="00241BC9">
            <w:pPr>
              <w:pStyle w:val="Title"/>
              <w:rPr>
                <w:szCs w:val="22"/>
              </w:rPr>
            </w:pPr>
            <w:r w:rsidRPr="00C03CC3">
              <w:rPr>
                <w:szCs w:val="22"/>
              </w:rPr>
              <w:t>Programme &amp; Policy Support Coordinator</w:t>
            </w:r>
          </w:p>
        </w:tc>
      </w:tr>
      <w:tr w:rsidR="00241BC9" w:rsidRPr="00CD72F7" w14:paraId="299D7400" w14:textId="77777777" w:rsidTr="00771842">
        <w:tc>
          <w:tcPr>
            <w:tcW w:w="3430" w:type="dxa"/>
            <w:shd w:val="clear" w:color="auto" w:fill="auto"/>
          </w:tcPr>
          <w:p w14:paraId="06F7117C" w14:textId="77777777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CD72F7">
              <w:rPr>
                <w:szCs w:val="22"/>
              </w:rPr>
              <w:t xml:space="preserve">Number of </w:t>
            </w:r>
            <w:r>
              <w:rPr>
                <w:szCs w:val="22"/>
              </w:rPr>
              <w:t>D</w:t>
            </w:r>
            <w:r w:rsidRPr="00CD72F7">
              <w:rPr>
                <w:szCs w:val="22"/>
              </w:rPr>
              <w:t xml:space="preserve">irect </w:t>
            </w:r>
            <w:r>
              <w:rPr>
                <w:szCs w:val="22"/>
              </w:rPr>
              <w:t>R</w:t>
            </w:r>
            <w:r w:rsidRPr="00CD72F7">
              <w:rPr>
                <w:szCs w:val="22"/>
              </w:rPr>
              <w:t>eports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4F667B85" w14:textId="352AC7B9" w:rsidR="00241BC9" w:rsidRPr="00015601" w:rsidRDefault="00241BC9" w:rsidP="00241BC9">
            <w:pPr>
              <w:pStyle w:val="Title"/>
              <w:rPr>
                <w:color w:val="1F497D" w:themeColor="text2"/>
                <w:szCs w:val="22"/>
              </w:rPr>
            </w:pP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59495DFA" w14:textId="2107F7AC" w:rsidR="00863F77" w:rsidRDefault="00863F77" w:rsidP="00863F77">
            <w:pPr>
              <w:spacing w:after="0"/>
            </w:pPr>
            <w:r w:rsidRPr="17605508">
              <w:t xml:space="preserve">Under the overall supervision </w:t>
            </w:r>
            <w:r w:rsidRPr="17605508">
              <w:rPr>
                <w:color w:val="000000" w:themeColor="text1"/>
              </w:rPr>
              <w:t xml:space="preserve">of </w:t>
            </w:r>
            <w:r w:rsidRPr="17605508">
              <w:rPr>
                <w:rFonts w:eastAsia="Arial"/>
              </w:rPr>
              <w:t>Chief of Mission (CoM) in Thailand and the</w:t>
            </w:r>
            <w:r w:rsidRPr="17605508">
              <w:rPr>
                <w:rFonts w:eastAsia="Arial"/>
                <w:spacing w:val="2"/>
              </w:rPr>
              <w:t xml:space="preserve"> </w:t>
            </w:r>
            <w:r w:rsidRPr="17605508">
              <w:rPr>
                <w:rFonts w:eastAsia="Arial"/>
              </w:rPr>
              <w:t>direct</w:t>
            </w:r>
            <w:r w:rsidRPr="17605508">
              <w:rPr>
                <w:rFonts w:eastAsia="Arial"/>
                <w:spacing w:val="3"/>
              </w:rPr>
              <w:t xml:space="preserve"> </w:t>
            </w:r>
            <w:r w:rsidRPr="17605508">
              <w:rPr>
                <w:rFonts w:eastAsia="Arial"/>
              </w:rPr>
              <w:t>supervision of</w:t>
            </w:r>
            <w:r w:rsidRPr="17605508">
              <w:rPr>
                <w:rFonts w:eastAsia="Arial"/>
                <w:spacing w:val="3"/>
              </w:rPr>
              <w:t xml:space="preserve"> </w:t>
            </w:r>
            <w:r w:rsidRPr="17605508">
              <w:rPr>
                <w:rFonts w:eastAsia="Arial"/>
              </w:rPr>
              <w:t>the Policy and Programme Support Coordinator, the</w:t>
            </w:r>
            <w:r w:rsidRPr="17605508">
              <w:rPr>
                <w:rFonts w:eastAsia="Arial"/>
                <w:spacing w:val="2"/>
              </w:rPr>
              <w:t xml:space="preserve"> </w:t>
            </w:r>
            <w:r w:rsidRPr="17605508">
              <w:rPr>
                <w:rFonts w:eastAsia="Arial"/>
              </w:rPr>
              <w:t>successful</w:t>
            </w:r>
            <w:r w:rsidRPr="17605508">
              <w:rPr>
                <w:rFonts w:eastAsia="Arial"/>
                <w:spacing w:val="2"/>
              </w:rPr>
              <w:t xml:space="preserve"> </w:t>
            </w:r>
            <w:r w:rsidRPr="17605508">
              <w:rPr>
                <w:rFonts w:eastAsia="Arial"/>
              </w:rPr>
              <w:t>candidate</w:t>
            </w:r>
            <w:r w:rsidRPr="17605508">
              <w:rPr>
                <w:rFonts w:eastAsia="Arial"/>
                <w:spacing w:val="2"/>
              </w:rPr>
              <w:t xml:space="preserve"> </w:t>
            </w:r>
            <w:r w:rsidRPr="17605508">
              <w:t>will be able to support IOM Thailand’s</w:t>
            </w:r>
            <w:r>
              <w:t xml:space="preserve"> </w:t>
            </w:r>
            <w:r>
              <w:rPr>
                <w:szCs w:val="22"/>
              </w:rPr>
              <w:t>efforts to enhance overall</w:t>
            </w:r>
            <w:r>
              <w:t xml:space="preserve"> reporting </w:t>
            </w:r>
            <w:r>
              <w:rPr>
                <w:szCs w:val="22"/>
              </w:rPr>
              <w:t xml:space="preserve">capacity </w:t>
            </w:r>
            <w:r w:rsidRPr="17605508">
              <w:t xml:space="preserve">in the Mission including IOM’s work as secretariat of the UN Network for Migration in Thailand. </w:t>
            </w:r>
          </w:p>
          <w:p w14:paraId="31AE780A" w14:textId="030E5E6E" w:rsidR="00241BC9" w:rsidRPr="00E267D2" w:rsidRDefault="00241BC9" w:rsidP="00241BC9">
            <w:pPr>
              <w:rPr>
                <w:i/>
                <w:iCs/>
                <w:color w:val="FF0000"/>
              </w:rPr>
            </w:pP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241BC9" w:rsidRDefault="00241BC9" w:rsidP="00241BC9">
            <w:pPr>
              <w:pStyle w:val="Default"/>
              <w:jc w:val="both"/>
              <w:rPr>
                <w:color w:val="auto"/>
              </w:rPr>
            </w:pPr>
          </w:p>
          <w:p w14:paraId="5D2F1909" w14:textId="77777777" w:rsidR="004461C8" w:rsidRDefault="004461C8" w:rsidP="004461C8">
            <w:pPr>
              <w:tabs>
                <w:tab w:val="left" w:pos="3060"/>
                <w:tab w:val="decimal" w:pos="9498"/>
              </w:tabs>
              <w:spacing w:after="0"/>
              <w:rPr>
                <w:rFonts w:eastAsia="MS Gothic"/>
                <w:bCs/>
                <w:color w:val="000000" w:themeColor="text1"/>
              </w:rPr>
            </w:pPr>
          </w:p>
          <w:p w14:paraId="3B8C6C98" w14:textId="73572180" w:rsidR="004461C8" w:rsidRDefault="004461C8" w:rsidP="00C03CC3">
            <w:pPr>
              <w:pStyle w:val="ListParagraph"/>
              <w:numPr>
                <w:ilvl w:val="0"/>
                <w:numId w:val="41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>
              <w:rPr>
                <w:rFonts w:eastAsia="MS Gothic"/>
                <w:bCs/>
                <w:color w:val="000000" w:themeColor="text1"/>
              </w:rPr>
              <w:t xml:space="preserve">Support the monitoring and analysis of the Missions donor reporting progress to help the mission maintain an overall understanding of Missions efficiency in meeting reporting requirements.  </w:t>
            </w:r>
          </w:p>
          <w:p w14:paraId="3E7DE99F" w14:textId="484C8002" w:rsidR="004461C8" w:rsidRDefault="004461C8" w:rsidP="00C03CC3">
            <w:pPr>
              <w:pStyle w:val="ListParagraph"/>
              <w:numPr>
                <w:ilvl w:val="0"/>
                <w:numId w:val="41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>
              <w:rPr>
                <w:rFonts w:eastAsia="MS Gothic"/>
                <w:bCs/>
                <w:color w:val="000000" w:themeColor="text1"/>
              </w:rPr>
              <w:t>Carry out analysis of information on PRIMA to update Mission dashboards.</w:t>
            </w:r>
          </w:p>
          <w:p w14:paraId="20805441" w14:textId="2CF12E5D" w:rsidR="004461C8" w:rsidRDefault="004461C8" w:rsidP="00C03CC3">
            <w:pPr>
              <w:pStyle w:val="ListParagraph"/>
              <w:numPr>
                <w:ilvl w:val="0"/>
                <w:numId w:val="41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8A33DF">
              <w:rPr>
                <w:rFonts w:eastAsia="MS Gothic"/>
                <w:bCs/>
                <w:color w:val="000000" w:themeColor="text1"/>
              </w:rPr>
              <w:t>Support in the development, compilation, and timely submission of donor reports, as well as other mission-specific reports, ensuring accuracy and compliance with donor and organizational requirements.</w:t>
            </w:r>
          </w:p>
          <w:p w14:paraId="762CF409" w14:textId="77777777" w:rsidR="004461C8" w:rsidRPr="00B224BC" w:rsidRDefault="004461C8" w:rsidP="00C03CC3">
            <w:pPr>
              <w:pStyle w:val="ListParagraph"/>
              <w:numPr>
                <w:ilvl w:val="0"/>
                <w:numId w:val="41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B224BC">
              <w:rPr>
                <w:rFonts w:eastAsia="MS Gothic"/>
                <w:bCs/>
                <w:color w:val="000000" w:themeColor="text1"/>
              </w:rPr>
              <w:t xml:space="preserve">Coordinate with other units within the Mission to augment capacity to develop reports as needed.  </w:t>
            </w:r>
          </w:p>
          <w:p w14:paraId="359B06D7" w14:textId="77777777" w:rsidR="004461C8" w:rsidRDefault="004461C8" w:rsidP="00C03CC3">
            <w:pPr>
              <w:pStyle w:val="ListParagraph"/>
              <w:numPr>
                <w:ilvl w:val="0"/>
                <w:numId w:val="41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B224BC">
              <w:rPr>
                <w:rFonts w:eastAsia="MS Gothic"/>
                <w:bCs/>
                <w:color w:val="000000" w:themeColor="text1"/>
              </w:rPr>
              <w:t xml:space="preserve">Support the development of overall Mission reports and updates to the RO, HQ and external stakeholders such as the UNCT and other coordination mechanisms as needed.  </w:t>
            </w:r>
          </w:p>
          <w:p w14:paraId="17622C77" w14:textId="77777777" w:rsidR="004461C8" w:rsidRPr="00B224BC" w:rsidRDefault="004461C8" w:rsidP="00C03CC3">
            <w:pPr>
              <w:pStyle w:val="ListParagraph"/>
              <w:numPr>
                <w:ilvl w:val="0"/>
                <w:numId w:val="41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8A33DF">
              <w:rPr>
                <w:rFonts w:eastAsia="MS Gothic"/>
                <w:bCs/>
                <w:color w:val="000000" w:themeColor="text1"/>
              </w:rPr>
              <w:t>Draft, review, and edit knowledge products—including good practice factsheets, knowledge bites, articles, research reports, etc.—in coordination with relevant internal counterparts.</w:t>
            </w:r>
          </w:p>
          <w:p w14:paraId="2B38E050" w14:textId="77777777" w:rsidR="004461C8" w:rsidRPr="00B224BC" w:rsidRDefault="004461C8" w:rsidP="00C03CC3">
            <w:pPr>
              <w:pStyle w:val="ListParagraph"/>
              <w:numPr>
                <w:ilvl w:val="0"/>
                <w:numId w:val="41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990130">
              <w:rPr>
                <w:rFonts w:eastAsia="MS Gothic"/>
                <w:bCs/>
                <w:color w:val="000000" w:themeColor="text1"/>
              </w:rPr>
              <w:lastRenderedPageBreak/>
              <w:t>Participate in and provide support for program-related meetings and conferences at both the national and international levels</w:t>
            </w:r>
            <w:r>
              <w:rPr>
                <w:rFonts w:eastAsia="MS Gothic"/>
                <w:bCs/>
                <w:color w:val="000000" w:themeColor="text1"/>
              </w:rPr>
              <w:t>.</w:t>
            </w:r>
          </w:p>
          <w:p w14:paraId="4002169C" w14:textId="77777777" w:rsidR="004461C8" w:rsidRDefault="004461C8" w:rsidP="00C03CC3">
            <w:pPr>
              <w:pStyle w:val="ListParagraph"/>
              <w:numPr>
                <w:ilvl w:val="0"/>
                <w:numId w:val="41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B224BC">
              <w:rPr>
                <w:rFonts w:eastAsia="MS Gothic"/>
                <w:bCs/>
                <w:color w:val="000000" w:themeColor="text1"/>
              </w:rPr>
              <w:t>Perform such other duties as may be assigned</w:t>
            </w:r>
            <w:r>
              <w:rPr>
                <w:rFonts w:eastAsia="MS Gothic"/>
                <w:bCs/>
                <w:color w:val="000000" w:themeColor="text1"/>
              </w:rPr>
              <w:t xml:space="preserve">. </w:t>
            </w:r>
          </w:p>
          <w:p w14:paraId="3DDCA3ED" w14:textId="77777777" w:rsidR="004461C8" w:rsidRPr="00B224BC" w:rsidRDefault="004461C8" w:rsidP="004461C8">
            <w:pPr>
              <w:pStyle w:val="ListParagraph"/>
              <w:numPr>
                <w:ilvl w:val="0"/>
                <w:numId w:val="0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left="720" w:right="0"/>
              <w:contextualSpacing/>
              <w:rPr>
                <w:rFonts w:eastAsia="MS Gothic"/>
                <w:bCs/>
                <w:color w:val="000000" w:themeColor="text1"/>
              </w:rPr>
            </w:pPr>
          </w:p>
          <w:p w14:paraId="3B80ECCE" w14:textId="77777777" w:rsidR="008225E9" w:rsidRPr="008443EF" w:rsidRDefault="008225E9" w:rsidP="008225E9">
            <w:pPr>
              <w:rPr>
                <w:b/>
                <w:szCs w:val="22"/>
                <w:u w:val="single"/>
              </w:rPr>
            </w:pPr>
            <w:r w:rsidRPr="008443EF">
              <w:rPr>
                <w:b/>
                <w:szCs w:val="22"/>
                <w:u w:val="single"/>
              </w:rPr>
              <w:t>Training Components and Learning Elements</w:t>
            </w:r>
          </w:p>
          <w:p w14:paraId="09A2BAF3" w14:textId="77777777" w:rsidR="008443EF" w:rsidRPr="008443EF" w:rsidRDefault="008443EF" w:rsidP="008443EF">
            <w:pPr>
              <w:pStyle w:val="ListParagraph"/>
              <w:numPr>
                <w:ilvl w:val="0"/>
                <w:numId w:val="35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8443EF">
              <w:rPr>
                <w:rFonts w:eastAsia="MS Gothic"/>
                <w:bCs/>
                <w:color w:val="000000" w:themeColor="text1"/>
              </w:rPr>
              <w:t>The Intern will gain experience in working in an international multicultural environment, within the United Nations system.</w:t>
            </w:r>
          </w:p>
          <w:p w14:paraId="42EAADE1" w14:textId="77777777" w:rsidR="008443EF" w:rsidRPr="008443EF" w:rsidRDefault="008443EF" w:rsidP="008443EF">
            <w:pPr>
              <w:pStyle w:val="ListParagraph"/>
              <w:numPr>
                <w:ilvl w:val="0"/>
                <w:numId w:val="35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8443EF">
              <w:rPr>
                <w:rFonts w:eastAsia="MS Gothic"/>
                <w:bCs/>
                <w:color w:val="000000" w:themeColor="text1"/>
              </w:rPr>
              <w:t>Gain experience in organization, management, and international cooperation activities.</w:t>
            </w:r>
          </w:p>
          <w:p w14:paraId="401D7405" w14:textId="77777777" w:rsidR="008443EF" w:rsidRPr="008443EF" w:rsidRDefault="008443EF" w:rsidP="008443EF">
            <w:pPr>
              <w:pStyle w:val="ListParagraph"/>
              <w:numPr>
                <w:ilvl w:val="0"/>
                <w:numId w:val="35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8443EF">
              <w:rPr>
                <w:rFonts w:eastAsia="MS Gothic"/>
                <w:bCs/>
                <w:color w:val="000000" w:themeColor="text1"/>
              </w:rPr>
              <w:t>Gain a better understanding of IOM’s work, as an inter-governmental organization in the field of Migration, and work on formulating and editing institutional strategies, priorities and workplans.</w:t>
            </w:r>
          </w:p>
          <w:p w14:paraId="44F8B124" w14:textId="77777777" w:rsidR="008443EF" w:rsidRPr="008443EF" w:rsidRDefault="008443EF" w:rsidP="008443EF">
            <w:pPr>
              <w:pStyle w:val="ListParagraph"/>
              <w:numPr>
                <w:ilvl w:val="0"/>
                <w:numId w:val="35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8443EF">
              <w:rPr>
                <w:rFonts w:eastAsia="MS Gothic"/>
                <w:bCs/>
                <w:color w:val="000000" w:themeColor="text1"/>
              </w:rPr>
              <w:t>The Intern will acquire technical knowledge in policy and strategy.</w:t>
            </w:r>
          </w:p>
          <w:p w14:paraId="4651D545" w14:textId="2E69A14C" w:rsidR="008225E9" w:rsidRPr="008443EF" w:rsidRDefault="008443EF" w:rsidP="008443EF">
            <w:pPr>
              <w:pStyle w:val="ListParagraph"/>
              <w:numPr>
                <w:ilvl w:val="0"/>
                <w:numId w:val="35"/>
              </w:numPr>
              <w:tabs>
                <w:tab w:val="left" w:pos="3060"/>
                <w:tab w:val="decimal" w:pos="9498"/>
              </w:tabs>
              <w:spacing w:before="0" w:after="0" w:line="276" w:lineRule="auto"/>
              <w:ind w:right="0"/>
              <w:contextualSpacing/>
              <w:rPr>
                <w:rFonts w:eastAsia="MS Gothic"/>
                <w:bCs/>
                <w:color w:val="000000" w:themeColor="text1"/>
              </w:rPr>
            </w:pPr>
            <w:r w:rsidRPr="008443EF">
              <w:rPr>
                <w:rFonts w:eastAsia="MS Gothic"/>
                <w:bCs/>
                <w:color w:val="000000" w:themeColor="text1"/>
              </w:rPr>
              <w:t>The Intern can also access online training courses at the disposal of all IOM staff.</w:t>
            </w: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31660F54" w14:textId="65A2E61B" w:rsidR="004461C8" w:rsidRPr="00C03CC3" w:rsidRDefault="00C03CC3" w:rsidP="00C03CC3">
                  <w:pPr>
                    <w:pStyle w:val="ListParagraph"/>
                    <w:numPr>
                      <w:ilvl w:val="0"/>
                      <w:numId w:val="42"/>
                    </w:numPr>
                    <w:tabs>
                      <w:tab w:val="left" w:pos="3060"/>
                      <w:tab w:val="left" w:pos="4860"/>
                      <w:tab w:val="decimal" w:pos="9498"/>
                    </w:tabs>
                    <w:spacing w:after="0"/>
                    <w:rPr>
                      <w:bCs/>
                      <w:color w:val="FF0000"/>
                    </w:rPr>
                  </w:pPr>
                  <w:sdt>
                    <w:sdtPr>
                      <w:rPr>
                        <w:color w:val="000000" w:themeColor="text1"/>
                      </w:rPr>
                      <w:alias w:val="Degree level"/>
                      <w:tag w:val="Degree level"/>
                      <w:id w:val="-749655691"/>
                      <w:placeholder>
                        <w:docPart w:val="FBB3B359B2FF4C85A002B5DE38868537"/>
                      </w:placeholder>
                      <w:dropDownList>
                        <w:listItem w:value="Choose an item."/>
                        <w:listItem w:displayText="Secondary Education" w:value="Secondary Education"/>
                        <w:listItem w:displayText="Technical/Vocation diploma" w:value="Technical/Vocation diploma"/>
                        <w:listItem w:displayText="Bachelor's degree" w:value="Bachelor's degree"/>
                        <w:listItem w:displayText="Master's degree" w:value="Master's degree"/>
                        <w:listItem w:displayText="Doctoral degree" w:value="Doctoral degree"/>
                      </w:dropDownList>
                    </w:sdtPr>
                    <w:sdtEndPr/>
                    <w:sdtContent>
                      <w:r w:rsidR="004461C8" w:rsidRPr="00C03CC3">
                        <w:rPr>
                          <w:color w:val="000000" w:themeColor="text1"/>
                        </w:rPr>
                        <w:t>Bachelor's degree</w:t>
                      </w:r>
                    </w:sdtContent>
                  </w:sdt>
                  <w:r w:rsidR="004461C8" w:rsidRPr="00C03CC3">
                    <w:rPr>
                      <w:color w:val="000000" w:themeColor="text1"/>
                    </w:rPr>
                    <w:t xml:space="preserve"> degree</w:t>
                  </w:r>
                  <w:r w:rsidR="004461C8" w:rsidRPr="00C03CC3">
                    <w:rPr>
                      <w:b/>
                      <w:bCs/>
                      <w:color w:val="000000" w:themeColor="text1"/>
                    </w:rPr>
                    <w:t xml:space="preserve"> </w:t>
                  </w:r>
                  <w:r w:rsidR="004461C8" w:rsidRPr="00C03CC3">
                    <w:rPr>
                      <w:bCs/>
                      <w:color w:val="000000" w:themeColor="text1"/>
                    </w:rPr>
                    <w:t>in</w:t>
                  </w:r>
                  <w:r w:rsidRPr="00C03CC3">
                    <w:rPr>
                      <w:bCs/>
                      <w:color w:val="000000" w:themeColor="text1"/>
                    </w:rPr>
                    <w:t xml:space="preserve"> Political Science, Migration Studies, International Relations or a related field from an accredited academic institution.</w:t>
                  </w:r>
                </w:p>
                <w:p w14:paraId="6B9E421C" w14:textId="7A2D280A" w:rsidR="00241BC9" w:rsidRPr="007B425E" w:rsidRDefault="00241BC9" w:rsidP="00167532">
                  <w:pPr>
                    <w:rPr>
                      <w:color w:val="E36C0A" w:themeColor="accent6" w:themeShade="BF"/>
                    </w:rPr>
                  </w:pPr>
                </w:p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5E3E037A" w14:textId="77777777" w:rsidR="00241BC9" w:rsidRPr="004461C8" w:rsidRDefault="00241BC9" w:rsidP="004461C8">
            <w:pPr>
              <w:autoSpaceDE/>
              <w:autoSpaceDN/>
              <w:adjustRightInd/>
              <w:spacing w:after="0"/>
              <w:ind w:left="720"/>
              <w:contextualSpacing/>
              <w:rPr>
                <w:lang w:val="en-US"/>
              </w:rPr>
            </w:pPr>
          </w:p>
          <w:p w14:paraId="46C213A4" w14:textId="6B484D1F" w:rsidR="009F3448" w:rsidRPr="004461C8" w:rsidRDefault="004461C8" w:rsidP="004461C8">
            <w:pPr>
              <w:numPr>
                <w:ilvl w:val="0"/>
                <w:numId w:val="36"/>
              </w:numPr>
              <w:autoSpaceDE/>
              <w:autoSpaceDN/>
              <w:adjustRightInd/>
              <w:spacing w:after="0"/>
              <w:contextualSpacing/>
              <w:rPr>
                <w:lang w:val="en-US"/>
              </w:rPr>
            </w:pPr>
            <w:r w:rsidRPr="004461C8">
              <w:rPr>
                <w:lang w:val="en-US"/>
              </w:rPr>
              <w:t>Experience writing reports, carrying out data analysis</w:t>
            </w:r>
          </w:p>
          <w:p w14:paraId="321EB30D" w14:textId="50728C5C" w:rsidR="00241BC9" w:rsidRPr="001F5FD4" w:rsidRDefault="004461C8" w:rsidP="001F5FD4">
            <w:pPr>
              <w:numPr>
                <w:ilvl w:val="0"/>
                <w:numId w:val="36"/>
              </w:numPr>
              <w:tabs>
                <w:tab w:val="left" w:pos="3060"/>
                <w:tab w:val="decimal" w:pos="9498"/>
              </w:tabs>
              <w:autoSpaceDE/>
              <w:autoSpaceDN/>
              <w:adjustRightInd/>
              <w:spacing w:line="276" w:lineRule="auto"/>
              <w:contextualSpacing/>
              <w:rPr>
                <w:rFonts w:eastAsia="Calibri"/>
                <w:bCs/>
                <w:color w:val="000000" w:themeColor="text1"/>
              </w:rPr>
            </w:pPr>
            <w:r w:rsidRPr="00BC42C6">
              <w:rPr>
                <w:rFonts w:eastAsia="Calibri"/>
                <w:bCs/>
                <w:color w:val="000000" w:themeColor="text1"/>
              </w:rPr>
              <w:t>Previous experience as a volunteer and/or experience of another culture, (i.e. studies, volunteer work, internship) would be highly regarded;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12945198" w14:textId="77777777" w:rsidR="004461C8" w:rsidRPr="00C03CC3" w:rsidRDefault="004461C8" w:rsidP="004461C8">
            <w:pPr>
              <w:numPr>
                <w:ilvl w:val="0"/>
                <w:numId w:val="36"/>
              </w:numPr>
              <w:autoSpaceDE/>
              <w:autoSpaceDN/>
              <w:adjustRightInd/>
              <w:spacing w:after="0"/>
              <w:contextualSpacing/>
              <w:rPr>
                <w:lang w:val="en-US"/>
              </w:rPr>
            </w:pPr>
            <w:r w:rsidRPr="00C03CC3">
              <w:rPr>
                <w:rFonts w:eastAsia="Calibri"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xcellent writing, drafting, editing and reporting skills;"/>
                  </w:textInput>
                </w:ffData>
              </w:fldChar>
            </w:r>
            <w:r w:rsidRPr="00C03CC3">
              <w:rPr>
                <w:rFonts w:eastAsia="Calibri"/>
                <w:bCs/>
                <w:color w:val="000000" w:themeColor="text1"/>
              </w:rPr>
              <w:instrText xml:space="preserve"> FORMTEXT </w:instrText>
            </w:r>
            <w:r w:rsidRPr="00C03CC3">
              <w:rPr>
                <w:rFonts w:eastAsia="Calibri"/>
                <w:bCs/>
                <w:color w:val="000000" w:themeColor="text1"/>
              </w:rPr>
            </w:r>
            <w:r w:rsidRPr="00C03CC3">
              <w:rPr>
                <w:rFonts w:eastAsia="Calibri"/>
                <w:bCs/>
                <w:color w:val="000000" w:themeColor="text1"/>
              </w:rPr>
              <w:fldChar w:fldCharType="separate"/>
            </w:r>
            <w:r w:rsidRPr="00C03CC3">
              <w:rPr>
                <w:rFonts w:eastAsia="Calibri"/>
                <w:bCs/>
                <w:noProof/>
                <w:color w:val="000000" w:themeColor="text1"/>
              </w:rPr>
              <w:t>Excellent writing, drafting, editing and reporting skills;</w:t>
            </w:r>
            <w:r w:rsidRPr="00C03CC3">
              <w:rPr>
                <w:rFonts w:eastAsia="Calibri"/>
                <w:bCs/>
                <w:color w:val="000000" w:themeColor="text1"/>
              </w:rPr>
              <w:fldChar w:fldCharType="end"/>
            </w:r>
            <w:r w:rsidRPr="00C03CC3">
              <w:rPr>
                <w:rFonts w:eastAsia="Calibri"/>
                <w:bCs/>
                <w:color w:val="000000" w:themeColor="text1"/>
              </w:rPr>
              <w:t xml:space="preserve">  </w:t>
            </w:r>
          </w:p>
          <w:p w14:paraId="350295F7" w14:textId="3C4C6821" w:rsidR="00241BC9" w:rsidRPr="001F5FD4" w:rsidRDefault="004461C8" w:rsidP="001F5FD4">
            <w:pPr>
              <w:numPr>
                <w:ilvl w:val="0"/>
                <w:numId w:val="36"/>
              </w:numPr>
              <w:autoSpaceDE/>
              <w:autoSpaceDN/>
              <w:adjustRightInd/>
              <w:spacing w:after="0"/>
              <w:contextualSpacing/>
              <w:rPr>
                <w:lang w:val="en-US"/>
              </w:rPr>
            </w:pPr>
            <w:r w:rsidRPr="00C03CC3">
              <w:rPr>
                <w:rFonts w:eastAsia="Calibri"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trong communication and organizational skills; "/>
                  </w:textInput>
                </w:ffData>
              </w:fldChar>
            </w:r>
            <w:r w:rsidRPr="00C03CC3">
              <w:rPr>
                <w:rFonts w:eastAsia="Calibri"/>
                <w:bCs/>
                <w:color w:val="000000" w:themeColor="text1"/>
              </w:rPr>
              <w:instrText xml:space="preserve"> FORMTEXT </w:instrText>
            </w:r>
            <w:r w:rsidRPr="00C03CC3">
              <w:rPr>
                <w:rFonts w:eastAsia="Calibri"/>
                <w:bCs/>
                <w:color w:val="000000" w:themeColor="text1"/>
              </w:rPr>
            </w:r>
            <w:r w:rsidRPr="00C03CC3">
              <w:rPr>
                <w:rFonts w:eastAsia="Calibri"/>
                <w:bCs/>
                <w:color w:val="000000" w:themeColor="text1"/>
              </w:rPr>
              <w:fldChar w:fldCharType="separate"/>
            </w:r>
            <w:r w:rsidRPr="00C03CC3">
              <w:rPr>
                <w:rFonts w:eastAsia="Calibri"/>
                <w:bCs/>
                <w:noProof/>
                <w:color w:val="000000" w:themeColor="text1"/>
              </w:rPr>
              <w:t xml:space="preserve">Strong communication and organizational skills; </w:t>
            </w:r>
            <w:r w:rsidRPr="00C03CC3">
              <w:rPr>
                <w:rFonts w:eastAsia="Calibri"/>
                <w:bCs/>
                <w:color w:val="000000" w:themeColor="text1"/>
              </w:rPr>
              <w:fldChar w:fldCharType="end"/>
            </w:r>
            <w:r w:rsidRPr="00BC42C6">
              <w:rPr>
                <w:rFonts w:eastAsia="Calibri"/>
                <w:bCs/>
                <w:color w:val="000000" w:themeColor="text1"/>
              </w:rPr>
              <w:t xml:space="preserve">  </w:t>
            </w: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(specify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334DFB7C" w:rsidR="00241BC9" w:rsidRPr="00C52B95" w:rsidRDefault="001F5FD4" w:rsidP="00241BC9">
            <w:pPr>
              <w:spacing w:after="0"/>
              <w:rPr>
                <w:szCs w:val="22"/>
              </w:rPr>
            </w:pPr>
            <w:r w:rsidRPr="001F5FD4">
              <w:rPr>
                <w:szCs w:val="22"/>
              </w:rPr>
              <w:t xml:space="preserve">Fluency in </w:t>
            </w:r>
            <w:r w:rsidR="004461C8" w:rsidRPr="001F5FD4">
              <w:rPr>
                <w:rFonts w:eastAsia="Calibri"/>
                <w:bCs/>
              </w:rPr>
              <w:t xml:space="preserve">English </w:t>
            </w:r>
            <w:r w:rsidR="004461C8" w:rsidRPr="004461C8">
              <w:rPr>
                <w:rFonts w:eastAsia="Calibri"/>
                <w:bCs/>
                <w:color w:val="000000" w:themeColor="text1"/>
              </w:rPr>
              <w:t>(oral and written)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31AF3534" w:rsidR="00241BC9" w:rsidRPr="00C52B95" w:rsidRDefault="00C03CC3" w:rsidP="00241BC9">
            <w:pPr>
              <w:spacing w:after="0"/>
              <w:rPr>
                <w:szCs w:val="22"/>
              </w:rPr>
            </w:pPr>
            <w:r w:rsidRPr="00C03CC3">
              <w:t>N/A</w:t>
            </w: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7777777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  <w:r w:rsidRPr="00CD72F7">
              <w:rPr>
                <w:rStyle w:val="FootnoteReference"/>
              </w:rPr>
              <w:footnoteReference w:id="1"/>
            </w:r>
          </w:p>
        </w:tc>
      </w:tr>
      <w:tr w:rsidR="00241BC9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0D861" w14:textId="77777777" w:rsidR="009F3448" w:rsidRPr="00A16163" w:rsidRDefault="009F3448" w:rsidP="009F3448">
            <w:pPr>
              <w:rPr>
                <w:szCs w:val="22"/>
              </w:rPr>
            </w:pPr>
            <w:r w:rsidRPr="00A16163">
              <w:rPr>
                <w:szCs w:val="22"/>
              </w:rPr>
              <w:t>The successful candidate is expected to demonstrate the following values and competencies:</w:t>
            </w:r>
          </w:p>
          <w:p w14:paraId="39B6C74D" w14:textId="77777777" w:rsidR="004461C8" w:rsidRDefault="004461C8" w:rsidP="004461C8">
            <w:pPr>
              <w:pStyle w:val="ListParagraph"/>
              <w:numPr>
                <w:ilvl w:val="0"/>
                <w:numId w:val="38"/>
              </w:numPr>
              <w:contextualSpacing/>
            </w:pPr>
            <w:r>
              <w:t xml:space="preserve">Ability to work well in multi-cultural </w:t>
            </w:r>
            <w:proofErr w:type="spellStart"/>
            <w:r>
              <w:t>evvironments</w:t>
            </w:r>
            <w:proofErr w:type="spellEnd"/>
            <w:r>
              <w:t>,</w:t>
            </w:r>
          </w:p>
          <w:p w14:paraId="72BC90A6" w14:textId="77777777" w:rsidR="004461C8" w:rsidRDefault="004461C8" w:rsidP="004461C8">
            <w:pPr>
              <w:pStyle w:val="ListParagraph"/>
              <w:numPr>
                <w:ilvl w:val="0"/>
                <w:numId w:val="38"/>
              </w:numPr>
              <w:contextualSpacing/>
            </w:pPr>
            <w:r>
              <w:t>Flexible and adaptable to rapidly changing contexts</w:t>
            </w:r>
          </w:p>
          <w:p w14:paraId="2222B530" w14:textId="3A8FE95B" w:rsidR="004461C8" w:rsidRPr="007B425E" w:rsidRDefault="004461C8" w:rsidP="004461C8">
            <w:pPr>
              <w:pStyle w:val="ListParagraph"/>
              <w:numPr>
                <w:ilvl w:val="0"/>
                <w:numId w:val="38"/>
              </w:numPr>
              <w:contextualSpacing/>
            </w:pPr>
            <w:r>
              <w:lastRenderedPageBreak/>
              <w:t>Ability to work well underpressure</w:t>
            </w:r>
          </w:p>
        </w:tc>
      </w:tr>
      <w:tr w:rsidR="009F3448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77777777" w:rsidR="009F3448" w:rsidRDefault="009F3448" w:rsidP="00B15B5B">
            <w:pPr>
              <w:rPr>
                <w:b/>
                <w:smallCaps/>
              </w:rPr>
            </w:pPr>
            <w:r>
              <w:rPr>
                <w:b/>
                <w:smallCaps/>
              </w:rPr>
              <w:lastRenderedPageBreak/>
              <w:t>Notes</w:t>
            </w:r>
            <w:r w:rsidRPr="00A16163">
              <w:rPr>
                <w:rStyle w:val="FootnoteReference"/>
                <w:b/>
                <w:szCs w:val="22"/>
              </w:rPr>
              <w:footnoteReference w:id="2"/>
            </w:r>
          </w:p>
        </w:tc>
      </w:tr>
      <w:tr w:rsidR="009F3448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116BE5" w:rsidRPr="00A16163" w:rsidRDefault="00116BE5" w:rsidP="00116BE5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0C509804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7F3368F2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programmes and activities;</w:t>
            </w:r>
          </w:p>
          <w:p w14:paraId="33FAB1B0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37F7FE2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38E82D5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4EE7D3D8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6E13F8C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7A4FADF4" w14:textId="77777777" w:rsidR="00116BE5" w:rsidRPr="00A16163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3DE714E4" w14:textId="58875070" w:rsidR="009F3448" w:rsidRPr="00C03CC3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 w:rsidR="002B20AB"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</w:tc>
      </w:tr>
      <w:tr w:rsidR="00116BE5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116BE5" w:rsidRPr="0077226C" w:rsidRDefault="00116BE5" w:rsidP="00B15B5B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t>The appointment is subject to funding confirmation.</w:t>
            </w:r>
          </w:p>
          <w:p w14:paraId="290C40E6" w14:textId="77777777" w:rsidR="00116BE5" w:rsidRDefault="00116BE5" w:rsidP="00B15B5B">
            <w:pPr>
              <w:spacing w:after="0"/>
              <w:rPr>
                <w:szCs w:val="22"/>
              </w:rPr>
            </w:pPr>
          </w:p>
          <w:p w14:paraId="56228E19" w14:textId="77777777" w:rsidR="00116BE5" w:rsidRPr="00A16163" w:rsidRDefault="00116BE5" w:rsidP="00B15B5B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116BE5" w:rsidRPr="00A16163" w:rsidRDefault="00116BE5" w:rsidP="00B15B5B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116BE5" w:rsidRPr="00A16163" w:rsidRDefault="00116BE5" w:rsidP="00B15B5B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</w:tbl>
    <w:p w14:paraId="6703CDF3" w14:textId="77777777" w:rsidR="00D753EC" w:rsidRPr="00CD72F7" w:rsidRDefault="00D753EC" w:rsidP="00F7350B">
      <w:bookmarkStart w:id="0" w:name="_GoBack"/>
      <w:bookmarkEnd w:id="0"/>
    </w:p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5004A" w14:textId="77777777" w:rsidR="002235EB" w:rsidRDefault="002235EB" w:rsidP="00F7350B">
      <w:r>
        <w:separator/>
      </w:r>
    </w:p>
  </w:endnote>
  <w:endnote w:type="continuationSeparator" w:id="0">
    <w:p w14:paraId="0BA36783" w14:textId="77777777" w:rsidR="002235EB" w:rsidRDefault="002235EB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6225D" w14:textId="77777777" w:rsidR="002235EB" w:rsidRDefault="002235EB" w:rsidP="00F7350B">
      <w:r>
        <w:separator/>
      </w:r>
    </w:p>
  </w:footnote>
  <w:footnote w:type="continuationSeparator" w:id="0">
    <w:p w14:paraId="00F989FD" w14:textId="77777777" w:rsidR="002235EB" w:rsidRDefault="002235EB" w:rsidP="00F7350B">
      <w:r>
        <w:continuationSeparator/>
      </w:r>
    </w:p>
  </w:footnote>
  <w:footnote w:id="1">
    <w:p w14:paraId="063102B2" w14:textId="6C8DA274" w:rsidR="00241BC9" w:rsidRPr="000D2A48" w:rsidRDefault="00241BC9">
      <w:pPr>
        <w:pStyle w:val="FootnoteText"/>
        <w:rPr>
          <w:sz w:val="16"/>
          <w:szCs w:val="16"/>
          <w:lang w:val="en-US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</w:t>
      </w:r>
      <w:r w:rsidRPr="000D2A48">
        <w:rPr>
          <w:sz w:val="16"/>
          <w:szCs w:val="16"/>
          <w:lang w:val="en-US"/>
        </w:rPr>
        <w:t xml:space="preserve">Competencies and respective levels should be drawn from the Competency Framework of the Organization. </w:t>
      </w:r>
    </w:p>
  </w:footnote>
  <w:footnote w:id="2">
    <w:p w14:paraId="758E4A41" w14:textId="77777777" w:rsidR="009F3448" w:rsidRPr="000D2A48" w:rsidRDefault="009F3448" w:rsidP="009F3448">
      <w:pPr>
        <w:rPr>
          <w:sz w:val="16"/>
          <w:szCs w:val="16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Indicate in this box if there is any differing provision of process because the position is in a specific program or to address emergency situations. For example, if donor approval is required: “The recruitment process for this vacancy will be subject to PRM review, as part of the USRAP process”. </w:t>
      </w:r>
    </w:p>
    <w:p w14:paraId="6EC38417" w14:textId="77777777" w:rsidR="009F3448" w:rsidRPr="00375B32" w:rsidRDefault="009F3448" w:rsidP="009F344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21FA1"/>
    <w:multiLevelType w:val="hybridMultilevel"/>
    <w:tmpl w:val="3E8CD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E3FEF"/>
    <w:multiLevelType w:val="hybridMultilevel"/>
    <w:tmpl w:val="CE4A9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320D82"/>
    <w:multiLevelType w:val="hybridMultilevel"/>
    <w:tmpl w:val="DCCE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96CA0"/>
    <w:multiLevelType w:val="hybridMultilevel"/>
    <w:tmpl w:val="EF785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D44C4E"/>
    <w:multiLevelType w:val="hybridMultilevel"/>
    <w:tmpl w:val="1B46A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70478"/>
    <w:multiLevelType w:val="hybridMultilevel"/>
    <w:tmpl w:val="276A6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DB2A08"/>
    <w:multiLevelType w:val="hybridMultilevel"/>
    <w:tmpl w:val="58DA3E72"/>
    <w:lvl w:ilvl="0" w:tplc="2558F5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6"/>
  </w:num>
  <w:num w:numId="5">
    <w:abstractNumId w:val="4"/>
  </w:num>
  <w:num w:numId="6">
    <w:abstractNumId w:val="2"/>
  </w:num>
  <w:num w:numId="7">
    <w:abstractNumId w:val="14"/>
  </w:num>
  <w:num w:numId="8">
    <w:abstractNumId w:val="15"/>
  </w:num>
  <w:num w:numId="9">
    <w:abstractNumId w:val="15"/>
  </w:num>
  <w:num w:numId="10">
    <w:abstractNumId w:val="15"/>
  </w:num>
  <w:num w:numId="11">
    <w:abstractNumId w:val="24"/>
  </w:num>
  <w:num w:numId="12">
    <w:abstractNumId w:val="15"/>
  </w:num>
  <w:num w:numId="13">
    <w:abstractNumId w:val="15"/>
  </w:num>
  <w:num w:numId="14">
    <w:abstractNumId w:val="15"/>
  </w:num>
  <w:num w:numId="15">
    <w:abstractNumId w:val="13"/>
  </w:num>
  <w:num w:numId="16">
    <w:abstractNumId w:val="15"/>
  </w:num>
  <w:num w:numId="17">
    <w:abstractNumId w:val="29"/>
  </w:num>
  <w:num w:numId="18">
    <w:abstractNumId w:val="25"/>
  </w:num>
  <w:num w:numId="19">
    <w:abstractNumId w:val="30"/>
  </w:num>
  <w:num w:numId="20">
    <w:abstractNumId w:val="23"/>
  </w:num>
  <w:num w:numId="21">
    <w:abstractNumId w:val="22"/>
  </w:num>
  <w:num w:numId="22">
    <w:abstractNumId w:val="12"/>
  </w:num>
  <w:num w:numId="23">
    <w:abstractNumId w:val="28"/>
  </w:num>
  <w:num w:numId="24">
    <w:abstractNumId w:val="7"/>
  </w:num>
  <w:num w:numId="25">
    <w:abstractNumId w:val="15"/>
  </w:num>
  <w:num w:numId="26">
    <w:abstractNumId w:val="10"/>
  </w:num>
  <w:num w:numId="27">
    <w:abstractNumId w:val="5"/>
  </w:num>
  <w:num w:numId="28">
    <w:abstractNumId w:val="9"/>
  </w:num>
  <w:num w:numId="29">
    <w:abstractNumId w:val="1"/>
  </w:num>
  <w:num w:numId="30">
    <w:abstractNumId w:val="3"/>
  </w:num>
  <w:num w:numId="31">
    <w:abstractNumId w:val="0"/>
  </w:num>
  <w:num w:numId="32">
    <w:abstractNumId w:val="15"/>
  </w:num>
  <w:num w:numId="33">
    <w:abstractNumId w:val="15"/>
  </w:num>
  <w:num w:numId="34">
    <w:abstractNumId w:val="26"/>
  </w:num>
  <w:num w:numId="35">
    <w:abstractNumId w:val="19"/>
  </w:num>
  <w:num w:numId="36">
    <w:abstractNumId w:val="20"/>
  </w:num>
  <w:num w:numId="37">
    <w:abstractNumId w:val="11"/>
  </w:num>
  <w:num w:numId="38">
    <w:abstractNumId w:val="21"/>
  </w:num>
  <w:num w:numId="39">
    <w:abstractNumId w:val="27"/>
  </w:num>
  <w:num w:numId="40">
    <w:abstractNumId w:val="15"/>
  </w:num>
  <w:num w:numId="41">
    <w:abstractNumId w:val="18"/>
  </w:num>
  <w:num w:numId="42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1F5FD4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35EB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0AB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61C8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43EF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3F77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3CC3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34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BB3B359B2FF4C85A002B5DE38868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E1F64-F262-4F21-A2CE-27893D21E222}"/>
      </w:docPartPr>
      <w:docPartBody>
        <w:p w:rsidR="00ED0897" w:rsidRDefault="00ED0897" w:rsidP="00ED0897">
          <w:pPr>
            <w:pStyle w:val="FBB3B359B2FF4C85A002B5DE38868537"/>
          </w:pPr>
          <w:r w:rsidRPr="0012207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897"/>
    <w:rsid w:val="00ED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0897"/>
    <w:rPr>
      <w:color w:val="808080"/>
    </w:rPr>
  </w:style>
  <w:style w:type="paragraph" w:customStyle="1" w:styleId="FBB3B359B2FF4C85A002B5DE38868537">
    <w:name w:val="FBB3B359B2FF4C85A002B5DE38868537"/>
    <w:rsid w:val="00ED08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63E52245E0EA4CB93EBE07BAD2F1F1" ma:contentTypeVersion="18" ma:contentTypeDescription="Create a new document." ma:contentTypeScope="" ma:versionID="ad261d549024171aeccfe0097d4e938c">
  <xsd:schema xmlns:xsd="http://www.w3.org/2001/XMLSchema" xmlns:xs="http://www.w3.org/2001/XMLSchema" xmlns:p="http://schemas.microsoft.com/office/2006/metadata/properties" xmlns:ns2="64b33673-764b-4db1-8e68-bb14ec89f67e" xmlns:ns3="3a9ce08b-829f-4960-9640-5487ef038bb0" targetNamespace="http://schemas.microsoft.com/office/2006/metadata/properties" ma:root="true" ma:fieldsID="bb73bc452cb1d157c5e0167e2b3c40be" ns2:_="" ns3:_="">
    <xsd:import namespace="64b33673-764b-4db1-8e68-bb14ec89f67e"/>
    <xsd:import namespace="3a9ce08b-829f-4960-9640-5487ef038b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3673-764b-4db1-8e68-bb14ec89f6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9ce08b-829f-4960-9640-5487ef038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2defdd-2ccc-41aa-8e3c-cdc4ca14837d}" ma:internalName="TaxCatchAll" ma:showField="CatchAllData" ma:web="3a9ce08b-829f-4960-9640-5487ef038b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9ce08b-829f-4960-9640-5487ef038bb0" xsi:nil="true"/>
    <lcf76f155ced4ddcb4097134ff3c332f xmlns="64b33673-764b-4db1-8e68-bb14ec89f67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720C3-918D-4A3D-8408-302E835D2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b33673-764b-4db1-8e68-bb14ec89f67e"/>
    <ds:schemaRef ds:uri="3a9ce08b-829f-4960-9640-5487ef038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1DEE6F-AAF9-4E80-88E5-B97F8C6B4511}">
  <ds:schemaRefs>
    <ds:schemaRef ds:uri="3a9ce08b-829f-4960-9640-5487ef038bb0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64b33673-764b-4db1-8e68-bb14ec89f67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BB5A9E4-2D8F-4C7B-8A9F-A97AB5A0B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4003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TREJO Rafael</cp:lastModifiedBy>
  <cp:revision>2</cp:revision>
  <cp:lastPrinted>2012-02-09T06:27:00Z</cp:lastPrinted>
  <dcterms:created xsi:type="dcterms:W3CDTF">2024-03-01T10:25:00Z</dcterms:created>
  <dcterms:modified xsi:type="dcterms:W3CDTF">2024-03-01T10:25:00Z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0x010100B263E52245E0EA4CB93EBE07BAD2F1F1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