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6D9BACC7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084039BE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22F3F3C9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 xml:space="preserve">Intern </w:t>
            </w:r>
            <w:r w:rsidRPr="001069D3">
              <w:rPr>
                <w:szCs w:val="22"/>
              </w:rPr>
              <w:t xml:space="preserve">– </w:t>
            </w:r>
            <w:r w:rsidR="00D04A30">
              <w:rPr>
                <w:szCs w:val="22"/>
              </w:rPr>
              <w:t>Programme</w:t>
            </w:r>
            <w:r w:rsidR="005029B0">
              <w:rPr>
                <w:szCs w:val="22"/>
              </w:rPr>
              <w:t xml:space="preserve"> Support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7BEE8201" w:rsidR="00763913" w:rsidRPr="00015601" w:rsidRDefault="001069D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1069D3">
              <w:rPr>
                <w:szCs w:val="22"/>
              </w:rPr>
              <w:t>Ljubljana, Slovenia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7DCEDCB3" w:rsidR="00763913" w:rsidRPr="00015601" w:rsidRDefault="001069D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1069D3">
              <w:rPr>
                <w:szCs w:val="22"/>
              </w:rPr>
              <w:t>IOM Slovenia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14F376E5" w:rsidR="00763913" w:rsidRPr="00015601" w:rsidRDefault="001069D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1069D3">
              <w:rPr>
                <w:szCs w:val="22"/>
              </w:rPr>
              <w:t xml:space="preserve">Country </w:t>
            </w:r>
            <w:r w:rsidR="00510DB0">
              <w:rPr>
                <w:szCs w:val="22"/>
              </w:rPr>
              <w:t>O</w:t>
            </w:r>
            <w:r w:rsidRPr="001069D3">
              <w:rPr>
                <w:szCs w:val="22"/>
              </w:rPr>
              <w:t>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015601" w:rsidRDefault="00763913" w:rsidP="00771842">
            <w:pPr>
              <w:pStyle w:val="Title"/>
              <w:rPr>
                <w:color w:val="1F497D" w:themeColor="text2"/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1069D3" w:rsidRDefault="00241BC9" w:rsidP="00241BC9">
            <w:pPr>
              <w:pStyle w:val="Title"/>
              <w:rPr>
                <w:szCs w:val="22"/>
              </w:rPr>
            </w:pPr>
            <w:r w:rsidRPr="001069D3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35BA7D6E" w:rsidR="00241BC9" w:rsidRPr="001069D3" w:rsidRDefault="001069D3" w:rsidP="00241BC9">
            <w:pPr>
              <w:pStyle w:val="Title"/>
              <w:rPr>
                <w:szCs w:val="22"/>
              </w:rPr>
            </w:pPr>
            <w:r w:rsidRPr="001069D3">
              <w:rPr>
                <w:szCs w:val="22"/>
              </w:rPr>
              <w:t>Head of Office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0E591494" w:rsidR="00241BC9" w:rsidRPr="00015601" w:rsidRDefault="00D514A1" w:rsidP="00241BC9">
            <w:pPr>
              <w:pStyle w:val="Title"/>
              <w:rPr>
                <w:color w:val="1F497D" w:themeColor="text2"/>
                <w:szCs w:val="22"/>
              </w:rPr>
            </w:pPr>
            <w:r w:rsidRPr="00D514A1">
              <w:rPr>
                <w:szCs w:val="22"/>
              </w:rPr>
              <w:t>N/A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6F7092F4" w14:textId="77777777" w:rsidR="00D04A30" w:rsidRPr="001069D3" w:rsidRDefault="00D04A30" w:rsidP="00D04A30">
            <w:r w:rsidRPr="001069D3">
              <w:t xml:space="preserve">IOM Slovenia </w:t>
            </w:r>
            <w:r>
              <w:t>has been</w:t>
            </w:r>
            <w:r w:rsidRPr="001069D3">
              <w:t xml:space="preserve"> </w:t>
            </w:r>
            <w:r>
              <w:t>implementing</w:t>
            </w:r>
            <w:r w:rsidRPr="001069D3">
              <w:t xml:space="preserve"> different projects in the field of international migration in cooperation with the Government and other stakeholders, NGOs and partners. The mission works in the areas of migrant integration, migration health, </w:t>
            </w:r>
            <w:r>
              <w:t xml:space="preserve">migrant protection, </w:t>
            </w:r>
            <w:r w:rsidRPr="001069D3">
              <w:t xml:space="preserve">data collection and research. </w:t>
            </w:r>
          </w:p>
          <w:p w14:paraId="7E2EAF1C" w14:textId="1473B7E4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7007B440" w:rsidR="005F3AEA" w:rsidRPr="005F3AEA" w:rsidRDefault="007F1BAB" w:rsidP="00241BC9">
            <w:pPr>
              <w:rPr>
                <w:color w:val="4F6228" w:themeColor="accent3" w:themeShade="80"/>
                <w:szCs w:val="22"/>
              </w:rPr>
            </w:pPr>
            <w:r w:rsidRPr="005F3AEA">
              <w:rPr>
                <w:szCs w:val="22"/>
              </w:rPr>
              <w:t xml:space="preserve">The successful candidate will work under the guidance and supervision of the Head of Office, and in cooperation with other colleagues in the Country Office, Regional Office and </w:t>
            </w:r>
            <w:r w:rsidRPr="005F3AEA">
              <w:t>relevant Divisions/Departments/Units at Headquarters</w:t>
            </w:r>
            <w:r w:rsidRPr="005F3AEA">
              <w:rPr>
                <w:szCs w:val="22"/>
              </w:rPr>
              <w:t>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AA6F92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Support the activities related to current programming of the Country Office;</w:t>
            </w:r>
          </w:p>
          <w:p w14:paraId="2B6D1C4E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Provide support in identifying programmatic opportunities related to country-specific needs;</w:t>
            </w:r>
          </w:p>
          <w:p w14:paraId="02EA1235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Assist with the development of new project proposals;</w:t>
            </w:r>
          </w:p>
          <w:p w14:paraId="359B2F20" w14:textId="77777777" w:rsidR="00D514A1" w:rsidRDefault="008610AF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 xml:space="preserve">Support the </w:t>
            </w:r>
            <w:r w:rsidR="007F1BAB" w:rsidRPr="00D514A1">
              <w:rPr>
                <w:bCs/>
                <w:szCs w:val="22"/>
              </w:rPr>
              <w:t>activities and operational procedures for family reunification</w:t>
            </w:r>
            <w:r w:rsidRPr="00D514A1">
              <w:rPr>
                <w:bCs/>
                <w:szCs w:val="22"/>
              </w:rPr>
              <w:t>;</w:t>
            </w:r>
          </w:p>
          <w:p w14:paraId="79A447EE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Attend internal meetings related to operational areas of IOM's activities;</w:t>
            </w:r>
          </w:p>
          <w:p w14:paraId="6CD2BF25" w14:textId="6BFBCDD3" w:rsidR="00D514A1" w:rsidRDefault="001711C6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Liaison and coordinate with IOM staff and local missions, as necessary, to facilitate project development and implementation;</w:t>
            </w:r>
          </w:p>
          <w:p w14:paraId="003B0A1E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lastRenderedPageBreak/>
              <w:t>Interact with IOM partners on relevant IOM activities;</w:t>
            </w:r>
          </w:p>
          <w:p w14:paraId="77FAD283" w14:textId="77777777" w:rsid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Assist with the preparation of situational and statistical reports on activities as assigned</w:t>
            </w:r>
            <w:r w:rsidR="00D514A1">
              <w:rPr>
                <w:bCs/>
                <w:szCs w:val="22"/>
              </w:rPr>
              <w:t>;</w:t>
            </w:r>
          </w:p>
          <w:p w14:paraId="3899D4E7" w14:textId="57D3EB68" w:rsidR="007F1BAB" w:rsidRPr="00D514A1" w:rsidRDefault="007F1BAB" w:rsidP="00D514A1">
            <w:pPr>
              <w:pStyle w:val="ListParagraph"/>
              <w:numPr>
                <w:ilvl w:val="0"/>
                <w:numId w:val="38"/>
              </w:numPr>
              <w:rPr>
                <w:bCs/>
                <w:szCs w:val="22"/>
              </w:rPr>
            </w:pPr>
            <w:r w:rsidRPr="00D514A1">
              <w:rPr>
                <w:bCs/>
                <w:szCs w:val="22"/>
              </w:rPr>
              <w:t>Undertake all other tasks as may be assigned.</w:t>
            </w:r>
          </w:p>
          <w:p w14:paraId="3B80ECCE" w14:textId="4B2110F2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40AD4CF5" w14:textId="3A85E5D9" w:rsidR="00625D9C" w:rsidRDefault="00625D9C" w:rsidP="00625D9C">
            <w:pPr>
              <w:ind w:left="360" w:hanging="360"/>
            </w:pPr>
            <w:r>
              <w:t>• The successful candidate will improve their knowledge of migration and research skills by working with professional colleagues. S/he will have the opportunity to test the knowledge and skills that they developed in the University or Higher Institution in a real work environment;</w:t>
            </w:r>
          </w:p>
          <w:p w14:paraId="536E25A6" w14:textId="27AEB8D5" w:rsidR="00625D9C" w:rsidRDefault="00625D9C" w:rsidP="00625D9C">
            <w:pPr>
              <w:ind w:left="360" w:hanging="360"/>
            </w:pPr>
            <w:r>
              <w:t xml:space="preserve">• </w:t>
            </w:r>
            <w:r w:rsidR="00A33954" w:rsidRPr="00A33954">
              <w:t>The successful candidate will be able to enhance its understanding of project cycle management</w:t>
            </w:r>
            <w:r w:rsidR="00A33954">
              <w:t xml:space="preserve">. He/she will be able </w:t>
            </w:r>
            <w:r>
              <w:t>to gather and disseminate information and data to develop relevant and quality project proposals, and actively seek new ways of improving programmes or services; ensure that the information on IOM’s programmes is accurate and well</w:t>
            </w:r>
            <w:r w:rsidR="00056011">
              <w:t>-</w:t>
            </w:r>
            <w:r>
              <w:t>presented, to help promote IOM’s image and work, and contribute to fundraising;</w:t>
            </w:r>
          </w:p>
          <w:p w14:paraId="43A7388E" w14:textId="77777777" w:rsidR="00625D9C" w:rsidRDefault="00625D9C" w:rsidP="00625D9C">
            <w:pPr>
              <w:ind w:left="360" w:hanging="360"/>
            </w:pPr>
            <w:r>
              <w:t>• The successful candidate will have the opportunity to enhance their communication skills, both oral and written, in a professional setting, which will also boost their confidence in a working setting;</w:t>
            </w:r>
          </w:p>
          <w:p w14:paraId="013184F8" w14:textId="77777777" w:rsidR="00625D9C" w:rsidRDefault="00625D9C" w:rsidP="00625D9C">
            <w:pPr>
              <w:ind w:left="360" w:hanging="360"/>
            </w:pPr>
            <w:r>
              <w:t>• The successful candidate will be able to build a professional network that can be a resource in making well-informed decisions about their career;</w:t>
            </w:r>
          </w:p>
          <w:p w14:paraId="4651D545" w14:textId="63C6C85A" w:rsidR="008225E9" w:rsidRPr="00625D9C" w:rsidRDefault="00625D9C" w:rsidP="00625D9C">
            <w:pPr>
              <w:ind w:left="360" w:hanging="360"/>
            </w:pPr>
            <w:r>
              <w:t>• The successful candidate will gain experience in working in an international multi-cultural environment, with an intergovernmental organization and able to incorporate gender related needs, perspectives, concerns and promote equal gender participation.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6B9E421C" w14:textId="450B2443" w:rsidR="00241BC9" w:rsidRPr="00D514A1" w:rsidRDefault="001E5974" w:rsidP="00D514A1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color w:val="E36C0A" w:themeColor="accent6" w:themeShade="BF"/>
                    </w:rPr>
                  </w:pPr>
                  <w:r w:rsidRPr="001E5974">
                    <w:t xml:space="preserve">Bachelor’s or </w:t>
                  </w:r>
                  <w:proofErr w:type="gramStart"/>
                  <w:r w:rsidRPr="001E5974">
                    <w:t>Master’s</w:t>
                  </w:r>
                  <w:proofErr w:type="gramEnd"/>
                  <w:r w:rsidRPr="001E5974">
                    <w:t xml:space="preserve"> degree in a relevant field, such as International Relations, Social and/or Political Sciences, Humanities or Law.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719CC5CF" w14:textId="77777777" w:rsidR="00D514A1" w:rsidRPr="00D514A1" w:rsidRDefault="008B1454" w:rsidP="00D514A1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D514A1">
              <w:rPr>
                <w:rFonts w:eastAsia="Arial"/>
              </w:rPr>
              <w:t>Previous experience as a volunteer and/or working experience in in international organization/non-governmental organization or in the EU region would be considered an advantage.</w:t>
            </w:r>
          </w:p>
          <w:p w14:paraId="7A9A89FC" w14:textId="77777777" w:rsidR="00D514A1" w:rsidRPr="00D514A1" w:rsidRDefault="007D40AC" w:rsidP="00D514A1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D514A1">
              <w:rPr>
                <w:rFonts w:eastAsia="Arial"/>
              </w:rPr>
              <w:t>Familiarity with concepts related to the field of migration is highly desirable.</w:t>
            </w:r>
          </w:p>
          <w:p w14:paraId="321EB30D" w14:textId="6E34CC9D" w:rsidR="00241BC9" w:rsidRPr="00D514A1" w:rsidRDefault="008B1454" w:rsidP="00D514A1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D514A1">
              <w:rPr>
                <w:rFonts w:eastAsia="Arial"/>
              </w:rPr>
              <w:t xml:space="preserve">Furthermore, knowledge or experience in </w:t>
            </w:r>
            <w:r w:rsidR="007D40AC" w:rsidRPr="00D514A1">
              <w:rPr>
                <w:rFonts w:eastAsia="Arial"/>
              </w:rPr>
              <w:t>project development, project management and</w:t>
            </w:r>
            <w:r w:rsidRPr="00D514A1">
              <w:rPr>
                <w:rFonts w:eastAsia="Arial"/>
              </w:rPr>
              <w:t xml:space="preserve"> project reporting would also be an advantage.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lastRenderedPageBreak/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66405942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Ability to draft documents clearly and concisely;</w:t>
            </w:r>
          </w:p>
          <w:p w14:paraId="4DAD1CEE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Strong organizational skills;</w:t>
            </w:r>
          </w:p>
          <w:p w14:paraId="053BBC24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Attention to detail, good communication and interpersonal skills;</w:t>
            </w:r>
          </w:p>
          <w:p w14:paraId="5FAD7736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Practical experience of how-to multi-task, prioritize and work independently;</w:t>
            </w:r>
          </w:p>
          <w:p w14:paraId="1CC32D0F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Personal commitment, efficiency, flexibility, and drive for results;</w:t>
            </w:r>
          </w:p>
          <w:p w14:paraId="06A45525" w14:textId="77777777" w:rsidR="00491D50" w:rsidRPr="00491D50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Demonstrated gender awareness and gender sensitivity;</w:t>
            </w:r>
          </w:p>
          <w:p w14:paraId="350295F7" w14:textId="696324DC" w:rsidR="00241BC9" w:rsidRPr="009F3448" w:rsidRDefault="00491D50" w:rsidP="00491D50">
            <w:pPr>
              <w:ind w:left="360" w:hanging="360"/>
              <w:rPr>
                <w:szCs w:val="22"/>
              </w:rPr>
            </w:pPr>
            <w:r w:rsidRPr="00491D50">
              <w:rPr>
                <w:szCs w:val="22"/>
              </w:rPr>
              <w:t>• Proficiency in MS Office (Word, Excel, Power Point).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7D7DF00A" w:rsidR="00241BC9" w:rsidRPr="00F4375C" w:rsidRDefault="00241BC9" w:rsidP="00241BC9">
            <w:pPr>
              <w:spacing w:after="0"/>
              <w:rPr>
                <w:szCs w:val="22"/>
              </w:rPr>
            </w:pPr>
            <w:r w:rsidRPr="00F4375C">
              <w:rPr>
                <w:szCs w:val="22"/>
                <w:lang w:val="en-US" w:eastAsia="en-US"/>
              </w:rPr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4CDB0AEF" w:rsidR="00241BC9" w:rsidRPr="00C52B95" w:rsidRDefault="00F4375C" w:rsidP="00241BC9">
            <w:pPr>
              <w:spacing w:after="0"/>
              <w:rPr>
                <w:szCs w:val="22"/>
              </w:rPr>
            </w:pPr>
            <w:r w:rsidRPr="00F4375C">
              <w:t xml:space="preserve">Working knowledge of Slovenian </w:t>
            </w:r>
            <w:r w:rsidR="0082445E">
              <w:t>language</w:t>
            </w:r>
            <w:r w:rsidRPr="00F4375C">
              <w:t xml:space="preserve"> is an advantage.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D861" w14:textId="77777777" w:rsidR="009F3448" w:rsidRPr="00A16163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competencies:</w:t>
            </w:r>
          </w:p>
          <w:p w14:paraId="2365C311" w14:textId="77777777" w:rsidR="00491D50" w:rsidRDefault="00491D50" w:rsidP="00491D50">
            <w:pPr>
              <w:spacing w:after="0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Values</w:t>
            </w:r>
          </w:p>
          <w:p w14:paraId="11F92A10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>Inclusion and respect for diversity</w:t>
            </w:r>
            <w:r>
              <w:rPr>
                <w:szCs w:val="22"/>
                <w:lang w:eastAsia="en-US"/>
              </w:rPr>
              <w:t>: Respects and promotes individual and cultural differences. Encourages diversity and inclusion.</w:t>
            </w:r>
          </w:p>
          <w:p w14:paraId="1ECF54D9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Integrity and transparency: </w:t>
            </w:r>
            <w:r>
              <w:rPr>
                <w:szCs w:val="22"/>
                <w:lang w:eastAsia="en-US"/>
              </w:rPr>
              <w:t>Maintains high ethical standards and acts in a manner consistent with organizational principles/rules and standards of conduct.</w:t>
            </w:r>
          </w:p>
          <w:p w14:paraId="12F6C2AE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Professionalism: </w:t>
            </w:r>
            <w:r>
              <w:rPr>
                <w:szCs w:val="22"/>
                <w:lang w:eastAsia="en-US"/>
              </w:rPr>
              <w:t>Demonstrates ability to work in a composed, competent and committed manner and exercises careful judgment in meeting day-to-day challenges.</w:t>
            </w:r>
          </w:p>
          <w:p w14:paraId="1F974961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Courage: </w:t>
            </w:r>
            <w:r>
              <w:rPr>
                <w:szCs w:val="22"/>
                <w:lang w:eastAsia="en-US"/>
              </w:rPr>
              <w:t>Demonstrates willingness to take a stand on issues of importance.</w:t>
            </w:r>
          </w:p>
          <w:p w14:paraId="09E6E29C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Empathy: </w:t>
            </w:r>
            <w:r>
              <w:rPr>
                <w:szCs w:val="22"/>
                <w:lang w:eastAsia="en-US"/>
              </w:rPr>
              <w:t>Shows compassion for others, makes people feel safe, respected and fairly treated.</w:t>
            </w:r>
          </w:p>
          <w:p w14:paraId="79904260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</w:p>
          <w:p w14:paraId="2E4F568F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Core Competencies </w:t>
            </w:r>
            <w:r>
              <w:rPr>
                <w:rFonts w:ascii="ArialMT" w:hAnsi="ArialMT" w:cs="ArialMT"/>
                <w:szCs w:val="22"/>
                <w:lang w:eastAsia="en-US"/>
              </w:rPr>
              <w:t xml:space="preserve">– </w:t>
            </w:r>
            <w:r>
              <w:rPr>
                <w:szCs w:val="22"/>
                <w:lang w:eastAsia="en-US"/>
              </w:rPr>
              <w:t>behavioural indicators</w:t>
            </w:r>
          </w:p>
          <w:p w14:paraId="34B88531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Teamwork: </w:t>
            </w:r>
            <w:r>
              <w:rPr>
                <w:szCs w:val="22"/>
                <w:lang w:eastAsia="en-US"/>
              </w:rPr>
              <w:t>Develops and promotes effective collaboration within and across units to achieve shared goals and optimize results.</w:t>
            </w:r>
          </w:p>
          <w:p w14:paraId="25DA6917" w14:textId="77777777" w:rsidR="00491D50" w:rsidRDefault="00491D50" w:rsidP="00491D50">
            <w:pPr>
              <w:spacing w:after="0"/>
              <w:jc w:val="left"/>
              <w:rPr>
                <w:szCs w:val="22"/>
                <w:lang w:eastAsia="en-US"/>
              </w:rPr>
            </w:pPr>
            <w:r>
              <w:rPr>
                <w:rFonts w:ascii="ArialMT" w:hAnsi="ArialMT" w:cs="ArialMT"/>
                <w:szCs w:val="22"/>
                <w:lang w:eastAsia="en-US"/>
              </w:rPr>
              <w:t xml:space="preserve">•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Delivering results: </w:t>
            </w:r>
            <w:r>
              <w:rPr>
                <w:szCs w:val="22"/>
                <w:lang w:eastAsia="en-US"/>
              </w:rPr>
              <w:t>Produces and delivers quality results in a service-oriented and timely manner. Is action oriented and committed to achieving agreed outcomes.</w:t>
            </w:r>
          </w:p>
          <w:p w14:paraId="46FE6B5A" w14:textId="77777777" w:rsidR="00491D50" w:rsidRPr="00C61407" w:rsidRDefault="00491D50" w:rsidP="00491D50">
            <w:pPr>
              <w:rPr>
                <w:szCs w:val="22"/>
              </w:rPr>
            </w:pPr>
            <w:r w:rsidRPr="00C61407">
              <w:rPr>
                <w:szCs w:val="22"/>
              </w:rPr>
              <w:t xml:space="preserve">• </w:t>
            </w:r>
            <w:r w:rsidRPr="00491D50">
              <w:rPr>
                <w:b/>
                <w:bCs/>
                <w:szCs w:val="22"/>
              </w:rPr>
              <w:t xml:space="preserve">Managing and sharing knowledge: </w:t>
            </w:r>
            <w:r w:rsidRPr="00C61407">
              <w:rPr>
                <w:szCs w:val="22"/>
              </w:rPr>
              <w:t>Continuously seeks to learn, share knowledge and</w:t>
            </w:r>
            <w:r>
              <w:rPr>
                <w:szCs w:val="22"/>
              </w:rPr>
              <w:t xml:space="preserve"> </w:t>
            </w:r>
            <w:r w:rsidRPr="00C61407">
              <w:rPr>
                <w:szCs w:val="22"/>
              </w:rPr>
              <w:t>innovate.</w:t>
            </w:r>
          </w:p>
          <w:p w14:paraId="296926ED" w14:textId="77777777" w:rsidR="00491D50" w:rsidRPr="00C61407" w:rsidRDefault="00491D50" w:rsidP="00491D50">
            <w:pPr>
              <w:rPr>
                <w:szCs w:val="22"/>
              </w:rPr>
            </w:pPr>
            <w:r w:rsidRPr="00C61407">
              <w:rPr>
                <w:szCs w:val="22"/>
              </w:rPr>
              <w:t xml:space="preserve">• </w:t>
            </w:r>
            <w:r w:rsidRPr="00491D50">
              <w:rPr>
                <w:b/>
                <w:bCs/>
                <w:szCs w:val="22"/>
              </w:rPr>
              <w:t>Accountability:</w:t>
            </w:r>
            <w:r w:rsidRPr="00C61407">
              <w:rPr>
                <w:szCs w:val="22"/>
              </w:rPr>
              <w:t xml:space="preserve"> Takes ownership for achieving the Organization’s priorities and assumes</w:t>
            </w:r>
            <w:r>
              <w:rPr>
                <w:szCs w:val="22"/>
              </w:rPr>
              <w:t xml:space="preserve"> </w:t>
            </w:r>
            <w:r w:rsidRPr="00C61407">
              <w:rPr>
                <w:szCs w:val="22"/>
              </w:rPr>
              <w:t>responsibility for own actions and delegated work.</w:t>
            </w:r>
          </w:p>
          <w:p w14:paraId="420713A9" w14:textId="77777777" w:rsidR="00491D50" w:rsidRPr="00C61407" w:rsidRDefault="00491D50" w:rsidP="00491D50">
            <w:pPr>
              <w:rPr>
                <w:szCs w:val="22"/>
              </w:rPr>
            </w:pPr>
            <w:r w:rsidRPr="00C61407">
              <w:rPr>
                <w:szCs w:val="22"/>
              </w:rPr>
              <w:t xml:space="preserve">• </w:t>
            </w:r>
            <w:r w:rsidRPr="00491D50">
              <w:rPr>
                <w:b/>
                <w:bCs/>
                <w:szCs w:val="22"/>
              </w:rPr>
              <w:t>Communication:</w:t>
            </w:r>
            <w:r w:rsidRPr="00C61407">
              <w:rPr>
                <w:szCs w:val="22"/>
              </w:rPr>
              <w:t xml:space="preserve"> Encourages and contributes to clear and open communication. Explains</w:t>
            </w:r>
            <w:r>
              <w:rPr>
                <w:szCs w:val="22"/>
              </w:rPr>
              <w:t xml:space="preserve"> </w:t>
            </w:r>
            <w:r w:rsidRPr="00C61407">
              <w:rPr>
                <w:szCs w:val="22"/>
              </w:rPr>
              <w:t>complex matters in an informative, inspiring and motivational way.</w:t>
            </w:r>
          </w:p>
          <w:p w14:paraId="5FD837BC" w14:textId="38D5604D" w:rsidR="00491D50" w:rsidRDefault="00491D50" w:rsidP="00491D50">
            <w:pPr>
              <w:rPr>
                <w:szCs w:val="22"/>
              </w:rPr>
            </w:pPr>
            <w:r w:rsidRPr="00C61407">
              <w:rPr>
                <w:szCs w:val="22"/>
              </w:rPr>
              <w:lastRenderedPageBreak/>
              <w:t>IOM’s competency framework can be found at this link</w:t>
            </w:r>
            <w:r w:rsidR="00D514A1">
              <w:rPr>
                <w:szCs w:val="22"/>
              </w:rPr>
              <w:t xml:space="preserve">: </w:t>
            </w:r>
            <w:hyperlink r:id="rId12" w:history="1">
              <w:r w:rsidR="00D514A1" w:rsidRPr="00B22871">
                <w:rPr>
                  <w:rStyle w:val="Hyperlink"/>
                  <w:szCs w:val="22"/>
                </w:rPr>
                <w:t>https://www.iom.int/sites/default/files/about-iom/iom_revised_competency_framework_external.pdf</w:t>
              </w:r>
            </w:hyperlink>
          </w:p>
          <w:p w14:paraId="04DF1598" w14:textId="77777777" w:rsidR="00491D50" w:rsidRPr="00A16163" w:rsidRDefault="00491D50" w:rsidP="00491D50">
            <w:pPr>
              <w:rPr>
                <w:szCs w:val="22"/>
              </w:rPr>
            </w:pPr>
            <w:r w:rsidRPr="00C61407">
              <w:rPr>
                <w:szCs w:val="22"/>
              </w:rPr>
              <w:t>Competencies will be assessed during a competency-based interview.</w:t>
            </w:r>
          </w:p>
          <w:p w14:paraId="2222B530" w14:textId="4DBC3CCF" w:rsidR="00241BC9" w:rsidRPr="007B425E" w:rsidRDefault="00241BC9" w:rsidP="009F3448">
            <w:pPr>
              <w:contextualSpacing/>
            </w:pP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A16163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46D629A1" w14:textId="5947B28D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 w:rsidR="002B20AB"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CDC44C9" w:rsidR="009F3448" w:rsidRPr="00A16163" w:rsidRDefault="009F3448" w:rsidP="00116BE5">
            <w:pPr>
              <w:spacing w:after="0"/>
              <w:rPr>
                <w:szCs w:val="22"/>
              </w:rPr>
            </w:pP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77226C" w:rsidRDefault="00116BE5" w:rsidP="00B15B5B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116BE5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A16163" w:rsidRDefault="00116BE5" w:rsidP="00B15B5B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</w:tbl>
    <w:p w14:paraId="6703CDF3" w14:textId="77777777" w:rsidR="00D753EC" w:rsidRPr="00CD72F7" w:rsidRDefault="00D753EC" w:rsidP="00F7350B">
      <w:bookmarkStart w:id="0" w:name="_GoBack"/>
      <w:bookmarkEnd w:id="0"/>
    </w:p>
    <w:sectPr w:rsidR="00D753EC" w:rsidRPr="00CD72F7" w:rsidSect="00B70D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D9BCD" w14:textId="77777777" w:rsidR="00B70D61" w:rsidRDefault="00B70D61" w:rsidP="00F7350B">
      <w:r>
        <w:separator/>
      </w:r>
    </w:p>
  </w:endnote>
  <w:endnote w:type="continuationSeparator" w:id="0">
    <w:p w14:paraId="042ADC7F" w14:textId="77777777" w:rsidR="00B70D61" w:rsidRDefault="00B70D61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9BD88" w14:textId="77777777" w:rsidR="00B70D61" w:rsidRDefault="00B70D61" w:rsidP="00F7350B">
      <w:r>
        <w:separator/>
      </w:r>
    </w:p>
  </w:footnote>
  <w:footnote w:type="continuationSeparator" w:id="0">
    <w:p w14:paraId="6427DD7C" w14:textId="77777777" w:rsidR="00B70D61" w:rsidRDefault="00B70D61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5784DBA"/>
    <w:multiLevelType w:val="hybridMultilevel"/>
    <w:tmpl w:val="BB8A2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3D27B9C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5DCD"/>
    <w:multiLevelType w:val="hybridMultilevel"/>
    <w:tmpl w:val="9784503C"/>
    <w:lvl w:ilvl="0" w:tplc="689248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53BAC"/>
    <w:multiLevelType w:val="hybridMultilevel"/>
    <w:tmpl w:val="018470EE"/>
    <w:lvl w:ilvl="0" w:tplc="689248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A5E39"/>
    <w:multiLevelType w:val="hybridMultilevel"/>
    <w:tmpl w:val="DC82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47AF8"/>
    <w:multiLevelType w:val="hybridMultilevel"/>
    <w:tmpl w:val="965E1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4"/>
  </w:num>
  <w:num w:numId="6">
    <w:abstractNumId w:val="2"/>
  </w:num>
  <w:num w:numId="7">
    <w:abstractNumId w:val="12"/>
  </w:num>
  <w:num w:numId="8">
    <w:abstractNumId w:val="14"/>
  </w:num>
  <w:num w:numId="9">
    <w:abstractNumId w:val="14"/>
  </w:num>
  <w:num w:numId="10">
    <w:abstractNumId w:val="14"/>
  </w:num>
  <w:num w:numId="11">
    <w:abstractNumId w:val="22"/>
  </w:num>
  <w:num w:numId="12">
    <w:abstractNumId w:val="14"/>
  </w:num>
  <w:num w:numId="13">
    <w:abstractNumId w:val="14"/>
  </w:num>
  <w:num w:numId="14">
    <w:abstractNumId w:val="14"/>
  </w:num>
  <w:num w:numId="15">
    <w:abstractNumId w:val="11"/>
  </w:num>
  <w:num w:numId="16">
    <w:abstractNumId w:val="14"/>
  </w:num>
  <w:num w:numId="17">
    <w:abstractNumId w:val="27"/>
  </w:num>
  <w:num w:numId="18">
    <w:abstractNumId w:val="23"/>
  </w:num>
  <w:num w:numId="19">
    <w:abstractNumId w:val="28"/>
  </w:num>
  <w:num w:numId="20">
    <w:abstractNumId w:val="21"/>
  </w:num>
  <w:num w:numId="21">
    <w:abstractNumId w:val="20"/>
  </w:num>
  <w:num w:numId="22">
    <w:abstractNumId w:val="10"/>
  </w:num>
  <w:num w:numId="23">
    <w:abstractNumId w:val="26"/>
  </w:num>
  <w:num w:numId="24">
    <w:abstractNumId w:val="7"/>
  </w:num>
  <w:num w:numId="25">
    <w:abstractNumId w:val="14"/>
  </w:num>
  <w:num w:numId="26">
    <w:abstractNumId w:val="9"/>
  </w:num>
  <w:num w:numId="27">
    <w:abstractNumId w:val="5"/>
  </w:num>
  <w:num w:numId="28">
    <w:abstractNumId w:val="8"/>
  </w:num>
  <w:num w:numId="29">
    <w:abstractNumId w:val="1"/>
  </w:num>
  <w:num w:numId="30">
    <w:abstractNumId w:val="3"/>
  </w:num>
  <w:num w:numId="31">
    <w:abstractNumId w:val="0"/>
  </w:num>
  <w:num w:numId="32">
    <w:abstractNumId w:val="14"/>
  </w:num>
  <w:num w:numId="33">
    <w:abstractNumId w:val="14"/>
  </w:num>
  <w:num w:numId="34">
    <w:abstractNumId w:val="24"/>
  </w:num>
  <w:num w:numId="35">
    <w:abstractNumId w:val="17"/>
  </w:num>
  <w:num w:numId="36">
    <w:abstractNumId w:val="18"/>
  </w:num>
  <w:num w:numId="37">
    <w:abstractNumId w:val="13"/>
  </w:num>
  <w:num w:numId="38">
    <w:abstractNumId w:val="25"/>
  </w:num>
  <w:num w:numId="3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011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9D3"/>
    <w:rsid w:val="00106D22"/>
    <w:rsid w:val="00112FD9"/>
    <w:rsid w:val="00116512"/>
    <w:rsid w:val="00116816"/>
    <w:rsid w:val="00116BE5"/>
    <w:rsid w:val="001173E6"/>
    <w:rsid w:val="001204A1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506A"/>
    <w:rsid w:val="00166219"/>
    <w:rsid w:val="00166953"/>
    <w:rsid w:val="00167532"/>
    <w:rsid w:val="001711C6"/>
    <w:rsid w:val="0017191A"/>
    <w:rsid w:val="00177334"/>
    <w:rsid w:val="00183FCC"/>
    <w:rsid w:val="00184C11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5974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108B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377BA"/>
    <w:rsid w:val="00240F5B"/>
    <w:rsid w:val="002410ED"/>
    <w:rsid w:val="00241BC9"/>
    <w:rsid w:val="0024590A"/>
    <w:rsid w:val="00245F43"/>
    <w:rsid w:val="00247B2E"/>
    <w:rsid w:val="00252465"/>
    <w:rsid w:val="00252DC1"/>
    <w:rsid w:val="002554C6"/>
    <w:rsid w:val="0025572F"/>
    <w:rsid w:val="00261FDB"/>
    <w:rsid w:val="00262871"/>
    <w:rsid w:val="00262E78"/>
    <w:rsid w:val="00262FE5"/>
    <w:rsid w:val="00265D34"/>
    <w:rsid w:val="00265FB1"/>
    <w:rsid w:val="00271ECD"/>
    <w:rsid w:val="00273D0D"/>
    <w:rsid w:val="00274C63"/>
    <w:rsid w:val="00274F2C"/>
    <w:rsid w:val="002777DB"/>
    <w:rsid w:val="00280290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26DA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57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4F2F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B7520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64F36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1D50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029B0"/>
    <w:rsid w:val="00510DB0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3AEA"/>
    <w:rsid w:val="005F5E3C"/>
    <w:rsid w:val="005F5F1F"/>
    <w:rsid w:val="005F6090"/>
    <w:rsid w:val="005F7283"/>
    <w:rsid w:val="00605C10"/>
    <w:rsid w:val="006061CD"/>
    <w:rsid w:val="00607764"/>
    <w:rsid w:val="006079C7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5D9C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2634"/>
    <w:rsid w:val="00672806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1BC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0AC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1BAB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445E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0A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1454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21BC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0F11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3954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0AD1"/>
    <w:rsid w:val="00B01585"/>
    <w:rsid w:val="00B018FA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0CAD"/>
    <w:rsid w:val="00B70D61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17C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4A30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14A1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256"/>
    <w:rsid w:val="00D74F55"/>
    <w:rsid w:val="00D753EC"/>
    <w:rsid w:val="00D77644"/>
    <w:rsid w:val="00D8076C"/>
    <w:rsid w:val="00D8475B"/>
    <w:rsid w:val="00D84A3E"/>
    <w:rsid w:val="00D90923"/>
    <w:rsid w:val="00D92E38"/>
    <w:rsid w:val="00D94467"/>
    <w:rsid w:val="00D955BA"/>
    <w:rsid w:val="00DA3D14"/>
    <w:rsid w:val="00DA4625"/>
    <w:rsid w:val="00DA522E"/>
    <w:rsid w:val="00DA5375"/>
    <w:rsid w:val="00DA5C09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4375C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044E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E6BB5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D514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om.int/sites/default/files/about-iom/iom_revised_competency_framework_external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DEE6F-AAF9-4E80-88E5-B97F8C6B4511}">
  <ds:schemaRefs>
    <ds:schemaRef ds:uri="eb925d86-b03a-48d8-8ba4-ee0c82ccef00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D5540-2CF1-4ADA-A0AF-E9F70970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1082</Words>
  <Characters>6168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2012-02-09T06:27:00Z</cp:lastPrinted>
  <dcterms:created xsi:type="dcterms:W3CDTF">2024-03-01T11:32:00Z</dcterms:created>
  <dcterms:modified xsi:type="dcterms:W3CDTF">2024-03-01T11:32:00Z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