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2B4B9" w14:textId="77777777" w:rsidR="003852AC" w:rsidRDefault="003852AC" w:rsidP="00EB1589">
      <w:pPr>
        <w:pStyle w:val="Default"/>
        <w:spacing w:before="120"/>
        <w:rPr>
          <w:rFonts w:asciiTheme="minorHAnsi" w:hAnsiTheme="minorHAnsi"/>
          <w:b/>
          <w:bCs/>
        </w:rPr>
      </w:pPr>
    </w:p>
    <w:p w14:paraId="08ABD39C" w14:textId="78F51E39" w:rsidR="003852AC" w:rsidRDefault="008B6D63" w:rsidP="00462308">
      <w:pPr>
        <w:pStyle w:val="Default"/>
        <w:spacing w:before="120"/>
        <w:jc w:val="right"/>
        <w:rPr>
          <w:rFonts w:asciiTheme="minorHAnsi" w:hAnsiTheme="minorHAnsi"/>
          <w:b/>
          <w:bCs/>
        </w:rPr>
      </w:pPr>
      <w:r>
        <w:rPr>
          <w:rFonts w:ascii="Cambria" w:eastAsia="Times New Roman" w:hAnsi="Cambria" w:cs="Times New Roman"/>
          <w:color w:val="auto"/>
          <w:lang w:eastAsia="en-US"/>
        </w:rPr>
        <w:t>February</w:t>
      </w:r>
      <w:r w:rsidR="00462308">
        <w:rPr>
          <w:rFonts w:ascii="Cambria" w:eastAsia="Times New Roman" w:hAnsi="Cambria" w:cs="Times New Roman"/>
          <w:color w:val="auto"/>
          <w:lang w:eastAsia="en-US"/>
        </w:rPr>
        <w:t xml:space="preserve"> 20</w:t>
      </w:r>
      <w:r w:rsidR="00E1748E">
        <w:rPr>
          <w:rFonts w:ascii="Cambria" w:eastAsia="Times New Roman" w:hAnsi="Cambria" w:cs="Times New Roman"/>
          <w:color w:val="auto"/>
          <w:lang w:eastAsia="en-US"/>
        </w:rPr>
        <w:t>2</w:t>
      </w:r>
      <w:r w:rsidR="009F5CD7">
        <w:rPr>
          <w:rFonts w:ascii="Cambria" w:eastAsia="Times New Roman" w:hAnsi="Cambria" w:cs="Times New Roman"/>
          <w:color w:val="auto"/>
          <w:lang w:eastAsia="en-US"/>
        </w:rPr>
        <w:t>4</w:t>
      </w:r>
    </w:p>
    <w:p w14:paraId="42E1B634" w14:textId="77777777" w:rsidR="00462308" w:rsidRDefault="00462308" w:rsidP="00EC1F4F">
      <w:pPr>
        <w:pStyle w:val="Default"/>
        <w:ind w:left="1701" w:hanging="1701"/>
        <w:rPr>
          <w:rFonts w:ascii="Cambria" w:hAnsi="Cambria"/>
        </w:rPr>
      </w:pPr>
    </w:p>
    <w:p w14:paraId="6817BB03" w14:textId="77777777" w:rsidR="00462308" w:rsidRDefault="00462308" w:rsidP="00EC1F4F">
      <w:pPr>
        <w:pStyle w:val="Default"/>
        <w:ind w:left="1701" w:hanging="1701"/>
        <w:rPr>
          <w:rFonts w:ascii="Cambria" w:hAnsi="Cambria"/>
        </w:rPr>
      </w:pPr>
    </w:p>
    <w:p w14:paraId="716E3EEC" w14:textId="5BE44DF9" w:rsidR="00EB1589" w:rsidRPr="007A6C06" w:rsidRDefault="00EB1589" w:rsidP="00EC1F4F">
      <w:pPr>
        <w:pStyle w:val="Default"/>
        <w:ind w:left="1701" w:hanging="1701"/>
        <w:rPr>
          <w:rFonts w:ascii="Cambria" w:hAnsi="Cambria"/>
        </w:rPr>
      </w:pPr>
      <w:r w:rsidRPr="007A6C06">
        <w:rPr>
          <w:rFonts w:ascii="Cambria" w:hAnsi="Cambria"/>
        </w:rPr>
        <w:t xml:space="preserve">Title: </w:t>
      </w:r>
      <w:r w:rsidR="00ED3D4B" w:rsidRPr="007A6C06">
        <w:rPr>
          <w:rFonts w:ascii="Cambria" w:hAnsi="Cambria"/>
        </w:rPr>
        <w:tab/>
      </w:r>
      <w:r w:rsidR="00462308">
        <w:rPr>
          <w:rFonts w:ascii="Cambria" w:hAnsi="Cambria"/>
        </w:rPr>
        <w:tab/>
      </w:r>
      <w:r w:rsidR="004C305B">
        <w:rPr>
          <w:rFonts w:ascii="Cambria" w:hAnsi="Cambria"/>
        </w:rPr>
        <w:t>Signalling security Intern</w:t>
      </w:r>
    </w:p>
    <w:p w14:paraId="2D70E5F6" w14:textId="3A676462" w:rsidR="00ED3D4B" w:rsidRPr="007A6C06" w:rsidRDefault="00462308" w:rsidP="007A6C06">
      <w:pPr>
        <w:spacing w:after="0" w:line="240" w:lineRule="auto"/>
        <w:ind w:left="1701" w:hanging="1701"/>
        <w:jc w:val="both"/>
        <w:rPr>
          <w:rFonts w:ascii="Cambria" w:hAnsi="Cambria"/>
          <w:sz w:val="24"/>
          <w:szCs w:val="24"/>
        </w:rPr>
      </w:pPr>
      <w:r>
        <w:rPr>
          <w:rFonts w:ascii="Cambria" w:hAnsi="Cambria"/>
          <w:sz w:val="24"/>
          <w:szCs w:val="24"/>
        </w:rPr>
        <w:t>Bureau/Dept/Unit</w:t>
      </w:r>
      <w:r w:rsidR="00ED3D4B" w:rsidRPr="007A6C06">
        <w:rPr>
          <w:rFonts w:ascii="Cambria" w:hAnsi="Cambria"/>
          <w:sz w:val="24"/>
          <w:szCs w:val="24"/>
        </w:rPr>
        <w:t>:</w:t>
      </w:r>
      <w:r w:rsidR="00ED3D4B" w:rsidRPr="007A6C06">
        <w:rPr>
          <w:rFonts w:ascii="Cambria" w:hAnsi="Cambria"/>
          <w:sz w:val="24"/>
          <w:szCs w:val="24"/>
        </w:rPr>
        <w:tab/>
      </w:r>
      <w:r w:rsidR="004C305B" w:rsidRPr="004C305B">
        <w:rPr>
          <w:rFonts w:ascii="Cambria" w:hAnsi="Cambria"/>
          <w:sz w:val="24"/>
          <w:szCs w:val="24"/>
        </w:rPr>
        <w:t>TSB</w:t>
      </w:r>
      <w:r w:rsidR="007A6C06" w:rsidRPr="004C305B">
        <w:rPr>
          <w:rFonts w:ascii="Cambria" w:hAnsi="Cambria"/>
          <w:sz w:val="24"/>
          <w:szCs w:val="24"/>
        </w:rPr>
        <w:t>/</w:t>
      </w:r>
      <w:r w:rsidR="004C305B" w:rsidRPr="004C305B">
        <w:rPr>
          <w:rFonts w:ascii="Cambria" w:hAnsi="Cambria"/>
          <w:sz w:val="24"/>
          <w:szCs w:val="24"/>
        </w:rPr>
        <w:t>SGD</w:t>
      </w:r>
    </w:p>
    <w:p w14:paraId="5F32DC84" w14:textId="32115D96" w:rsidR="00ED3D4B" w:rsidRPr="007A6C06" w:rsidRDefault="00ED3D4B" w:rsidP="00EC1F4F">
      <w:pPr>
        <w:spacing w:after="0" w:line="240" w:lineRule="auto"/>
        <w:ind w:left="1701" w:hanging="1701"/>
        <w:rPr>
          <w:rFonts w:ascii="Cambria" w:hAnsi="Cambria"/>
          <w:sz w:val="24"/>
          <w:szCs w:val="24"/>
        </w:rPr>
      </w:pPr>
      <w:r w:rsidRPr="007A6C06">
        <w:rPr>
          <w:rFonts w:ascii="Cambria" w:hAnsi="Cambria"/>
          <w:sz w:val="24"/>
          <w:szCs w:val="24"/>
        </w:rPr>
        <w:t>Supervision:</w:t>
      </w:r>
      <w:r w:rsidRPr="007A6C06">
        <w:rPr>
          <w:rFonts w:ascii="Cambria" w:hAnsi="Cambria"/>
          <w:sz w:val="24"/>
          <w:szCs w:val="24"/>
        </w:rPr>
        <w:tab/>
      </w:r>
      <w:r w:rsidR="00462308">
        <w:rPr>
          <w:rFonts w:ascii="Cambria" w:hAnsi="Cambria"/>
          <w:sz w:val="24"/>
          <w:szCs w:val="24"/>
        </w:rPr>
        <w:tab/>
      </w:r>
      <w:r w:rsidR="00FB7AF3" w:rsidRPr="003A42AF">
        <w:rPr>
          <w:rFonts w:ascii="Cambria" w:hAnsi="Cambria"/>
          <w:sz w:val="24"/>
          <w:szCs w:val="24"/>
        </w:rPr>
        <w:t>Denis ANDREEV / Advisor of ITU-T SG11</w:t>
      </w:r>
    </w:p>
    <w:p w14:paraId="3D429F1A" w14:textId="19BF89B4"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Duration: </w:t>
      </w:r>
      <w:r w:rsidRPr="007A6C06">
        <w:rPr>
          <w:rFonts w:ascii="Cambria" w:hAnsi="Cambria"/>
          <w:sz w:val="24"/>
          <w:szCs w:val="24"/>
        </w:rPr>
        <w:tab/>
      </w:r>
      <w:r w:rsidR="00462308">
        <w:rPr>
          <w:rFonts w:ascii="Cambria" w:hAnsi="Cambria"/>
          <w:sz w:val="24"/>
          <w:szCs w:val="24"/>
        </w:rPr>
        <w:tab/>
      </w:r>
      <w:r w:rsidR="00C5422D">
        <w:rPr>
          <w:rFonts w:ascii="Cambria" w:hAnsi="Cambria"/>
          <w:sz w:val="24"/>
          <w:szCs w:val="24"/>
        </w:rPr>
        <w:t>11 months maximum</w:t>
      </w:r>
      <w:r w:rsidRPr="007A6C06">
        <w:rPr>
          <w:rFonts w:ascii="Cambria" w:hAnsi="Cambria"/>
          <w:sz w:val="24"/>
          <w:szCs w:val="24"/>
        </w:rPr>
        <w:t xml:space="preserve"> </w:t>
      </w:r>
    </w:p>
    <w:p w14:paraId="3FDE788B" w14:textId="0CBEF3C4"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Location: </w:t>
      </w:r>
      <w:r w:rsidRPr="007A6C06">
        <w:rPr>
          <w:rFonts w:ascii="Cambria" w:hAnsi="Cambria"/>
          <w:sz w:val="24"/>
          <w:szCs w:val="24"/>
        </w:rPr>
        <w:tab/>
      </w:r>
      <w:r w:rsidR="00462308">
        <w:rPr>
          <w:rFonts w:ascii="Cambria" w:hAnsi="Cambria"/>
          <w:sz w:val="24"/>
          <w:szCs w:val="24"/>
        </w:rPr>
        <w:tab/>
      </w:r>
      <w:r w:rsidR="002B4314" w:rsidRPr="007A6C06">
        <w:rPr>
          <w:rFonts w:ascii="Cambria" w:hAnsi="Cambria"/>
          <w:sz w:val="24"/>
          <w:szCs w:val="24"/>
        </w:rPr>
        <w:t xml:space="preserve">ITU Headquarter – </w:t>
      </w:r>
      <w:r w:rsidR="002B4314">
        <w:rPr>
          <w:rFonts w:ascii="Cambria" w:hAnsi="Cambria"/>
          <w:sz w:val="24"/>
          <w:szCs w:val="24"/>
        </w:rPr>
        <w:t>Geneva</w:t>
      </w:r>
      <w:r w:rsidR="002B4314" w:rsidRPr="007A6C06">
        <w:rPr>
          <w:rFonts w:ascii="Cambria" w:hAnsi="Cambria"/>
          <w:sz w:val="24"/>
          <w:szCs w:val="24"/>
        </w:rPr>
        <w:t xml:space="preserve">, </w:t>
      </w:r>
      <w:r w:rsidR="002B4314">
        <w:rPr>
          <w:rFonts w:ascii="Cambria" w:hAnsi="Cambria"/>
          <w:sz w:val="24"/>
          <w:szCs w:val="24"/>
        </w:rPr>
        <w:t>Switzerland</w:t>
      </w:r>
    </w:p>
    <w:p w14:paraId="54C34D01" w14:textId="77777777" w:rsidR="003852AC" w:rsidRPr="007A6C06" w:rsidRDefault="003852AC" w:rsidP="00EB1589">
      <w:pPr>
        <w:pStyle w:val="Default"/>
        <w:spacing w:before="120"/>
        <w:rPr>
          <w:rFonts w:ascii="Cambria" w:hAnsi="Cambria"/>
        </w:rPr>
      </w:pPr>
    </w:p>
    <w:p w14:paraId="636DF767"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the United Nations specialized agency for information and communication technologies – ICTs.</w:t>
      </w:r>
    </w:p>
    <w:p w14:paraId="0CB914AB" w14:textId="77777777" w:rsidR="00050547" w:rsidRPr="007A6C06" w:rsidRDefault="00050547" w:rsidP="00050547">
      <w:pPr>
        <w:jc w:val="both"/>
        <w:rPr>
          <w:rFonts w:ascii="Cambria" w:hAnsi="Cambria"/>
          <w:sz w:val="24"/>
          <w:szCs w:val="24"/>
        </w:rPr>
      </w:pPr>
      <w:r w:rsidRPr="007A6C06">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friends and family anytime, and almost anywhere. </w:t>
      </w:r>
    </w:p>
    <w:p w14:paraId="0DCC7D4C" w14:textId="77777777" w:rsidR="00050547" w:rsidRPr="007A6C06" w:rsidRDefault="00050547" w:rsidP="00050547">
      <w:pPr>
        <w:jc w:val="both"/>
        <w:rPr>
          <w:rFonts w:ascii="Cambria" w:hAnsi="Cambria"/>
          <w:sz w:val="24"/>
          <w:szCs w:val="24"/>
        </w:rPr>
      </w:pPr>
      <w:r w:rsidRPr="007A6C06">
        <w:rPr>
          <w:rFonts w:ascii="Cambria" w:hAnsi="Cambria"/>
          <w:sz w:val="24"/>
          <w:szCs w:val="24"/>
        </w:rPr>
        <w:t>With the help of our global membership, ITU brings the benefits of modern communication technologies to people everywhere in an efficient, safe, easy and affordable manner.</w:t>
      </w:r>
    </w:p>
    <w:p w14:paraId="78EF9463"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ITU membership reads like a Who's Who of the ICT sector. We're unique among UN agencies in having both public and private sector membership. So in addition to our 193 Member States, ITU membership includes ICT regulators, many leading academic institutions and some 700 tech companies. </w:t>
      </w:r>
    </w:p>
    <w:p w14:paraId="1A1C9A9F" w14:textId="77777777" w:rsidR="00050547" w:rsidRPr="007A6C06" w:rsidRDefault="00050547" w:rsidP="00050547">
      <w:pPr>
        <w:jc w:val="both"/>
        <w:rPr>
          <w:rFonts w:ascii="Cambria" w:hAnsi="Cambria"/>
          <w:sz w:val="24"/>
          <w:szCs w:val="24"/>
        </w:rPr>
      </w:pPr>
      <w:r w:rsidRPr="007A6C06">
        <w:rPr>
          <w:rFonts w:ascii="Cambria" w:hAnsi="Cambria"/>
          <w:sz w:val="24"/>
          <w:szCs w:val="24"/>
        </w:rPr>
        <w:t>In an increasingly interconnected world, ITU is the single global organization embracing all players in this dynamic and fast-growing sector.</w:t>
      </w:r>
    </w:p>
    <w:p w14:paraId="56647497" w14:textId="77777777" w:rsidR="00ED3D4B" w:rsidRPr="00D36A7F" w:rsidRDefault="00ED3D4B" w:rsidP="00D36A7F">
      <w:pPr>
        <w:pStyle w:val="ListParagraph"/>
        <w:numPr>
          <w:ilvl w:val="0"/>
          <w:numId w:val="12"/>
        </w:numPr>
        <w:shd w:val="clear" w:color="auto" w:fill="FFFFFF"/>
        <w:spacing w:beforeAutospacing="1" w:after="100" w:afterAutospacing="1"/>
        <w:ind w:left="284" w:hanging="284"/>
        <w:jc w:val="both"/>
        <w:rPr>
          <w:rFonts w:ascii="Cambria" w:hAnsi="Cambria"/>
          <w:sz w:val="24"/>
          <w:szCs w:val="24"/>
        </w:rPr>
      </w:pPr>
      <w:r w:rsidRPr="00D36A7F">
        <w:rPr>
          <w:rFonts w:ascii="Cambria" w:hAnsi="Cambria"/>
          <w:b/>
          <w:bCs/>
          <w:sz w:val="24"/>
          <w:szCs w:val="24"/>
        </w:rPr>
        <w:t>Organizational Unit</w:t>
      </w:r>
      <w:r w:rsidRPr="00D36A7F">
        <w:rPr>
          <w:rFonts w:ascii="Cambria" w:hAnsi="Cambria"/>
          <w:sz w:val="24"/>
          <w:szCs w:val="24"/>
        </w:rPr>
        <w:t>:</w:t>
      </w:r>
    </w:p>
    <w:p w14:paraId="441A1A2A" w14:textId="77777777" w:rsidR="00A41874" w:rsidRDefault="00A41874" w:rsidP="00A41874">
      <w:pPr>
        <w:autoSpaceDE w:val="0"/>
        <w:autoSpaceDN w:val="0"/>
        <w:adjustRightInd w:val="0"/>
        <w:spacing w:after="0" w:line="240" w:lineRule="auto"/>
        <w:rPr>
          <w:rFonts w:ascii="Cambria" w:hAnsi="Cambria" w:cs="Helvetica"/>
          <w:sz w:val="24"/>
          <w:szCs w:val="24"/>
        </w:rPr>
      </w:pPr>
      <w:r w:rsidRPr="00FE0CDE">
        <w:rPr>
          <w:rFonts w:ascii="Cambria" w:hAnsi="Cambria" w:cs="Helvetica"/>
          <w:sz w:val="24"/>
          <w:szCs w:val="24"/>
        </w:rPr>
        <w:t xml:space="preserve">The Telecommunication Standardization Bureau (TSB) fulfills the objectives of the Union relating to telecommunication standardization, by providing secretariat support to groups studying technical, operating and tariff questions and facilitating the adoption of </w:t>
      </w:r>
      <w:r>
        <w:rPr>
          <w:rFonts w:ascii="Cambria" w:hAnsi="Cambria" w:cs="Helvetica"/>
          <w:sz w:val="24"/>
          <w:szCs w:val="24"/>
        </w:rPr>
        <w:t>standards (“</w:t>
      </w:r>
      <w:r w:rsidRPr="00FE0CDE">
        <w:rPr>
          <w:rFonts w:ascii="Cambria" w:hAnsi="Cambria" w:cs="Helvetica"/>
          <w:sz w:val="24"/>
          <w:szCs w:val="24"/>
        </w:rPr>
        <w:t>Recommendations</w:t>
      </w:r>
      <w:r>
        <w:rPr>
          <w:rFonts w:ascii="Cambria" w:hAnsi="Cambria" w:cs="Helvetica"/>
          <w:sz w:val="24"/>
          <w:szCs w:val="24"/>
        </w:rPr>
        <w:t>” in ITU parlance)</w:t>
      </w:r>
      <w:r w:rsidRPr="00FE0CDE">
        <w:rPr>
          <w:rFonts w:ascii="Cambria" w:hAnsi="Cambria" w:cs="Helvetica"/>
          <w:sz w:val="24"/>
          <w:szCs w:val="24"/>
        </w:rPr>
        <w:t xml:space="preserve"> in these areas with a view to standardizing telecommunications and information technology on a global basis. In order to achieve these objectives, the Telecommunication Standardization Bureau works in accordance with the instructions of the World Telecommunication Standardization Assemblies (WTSA), Telecommunication Standardization Study Groups and the Telecommunication Standardization </w:t>
      </w:r>
      <w:r w:rsidRPr="00FE0CDE">
        <w:rPr>
          <w:rFonts w:ascii="Cambria" w:hAnsi="Cambria" w:cs="Helvetica"/>
          <w:sz w:val="24"/>
          <w:szCs w:val="24"/>
        </w:rPr>
        <w:lastRenderedPageBreak/>
        <w:t>Advisory Group. TSB, headed by an elected Director, provides the technical, administrative and logistic support for the assemblies and for the meetings of the groups mentioned.</w:t>
      </w:r>
    </w:p>
    <w:p w14:paraId="386AA868" w14:textId="77777777" w:rsidR="00A41874" w:rsidRDefault="00A41874" w:rsidP="00A41874">
      <w:pPr>
        <w:autoSpaceDE w:val="0"/>
        <w:autoSpaceDN w:val="0"/>
        <w:adjustRightInd w:val="0"/>
        <w:spacing w:after="0" w:line="240" w:lineRule="auto"/>
        <w:rPr>
          <w:rFonts w:ascii="Cambria" w:hAnsi="Cambria" w:cs="Helvetica"/>
          <w:sz w:val="24"/>
          <w:szCs w:val="24"/>
        </w:rPr>
      </w:pPr>
    </w:p>
    <w:p w14:paraId="6ECB6DE1" w14:textId="77777777" w:rsidR="00A41874" w:rsidRDefault="00A41874" w:rsidP="00A41874">
      <w:pPr>
        <w:autoSpaceDE w:val="0"/>
        <w:autoSpaceDN w:val="0"/>
        <w:adjustRightInd w:val="0"/>
        <w:spacing w:after="0" w:line="240" w:lineRule="auto"/>
        <w:rPr>
          <w:rFonts w:ascii="Cambria" w:hAnsi="Cambria" w:cs="Helvetica"/>
          <w:sz w:val="24"/>
          <w:szCs w:val="24"/>
        </w:rPr>
      </w:pPr>
      <w:r w:rsidRPr="00FE0CDE">
        <w:rPr>
          <w:rFonts w:ascii="Cambria" w:hAnsi="Cambria" w:cs="Helvetica"/>
          <w:sz w:val="24"/>
          <w:szCs w:val="24"/>
        </w:rPr>
        <w:t>The Study Groups Department (SGD) is responsible for facilitating, managing and supporting the work of the ITU-T study groups in the development of global telecommunication standards (ITU-T Recommendations) and other documents and databases related to standardization.  It provides the counsel and secretariat for the Sector's study groups, focus groups and other ad hoc groups. Particular attention is given to "Bridging the Standardization Gap", i.e., to strengthen the participation of developing countries in the standards making process. The Department maintains close relations with the ITU Radiocommunication and Telecommunication Development Sectors and takes part in their work as required. Likewise, it cooperates with other global standards organizations such as ISO and IEC as well as recognized industry forums and consortia.</w:t>
      </w:r>
    </w:p>
    <w:p w14:paraId="1568F3EB" w14:textId="6F3FF9FF" w:rsidR="004C2AC8" w:rsidRDefault="004C2AC8" w:rsidP="004C2AC8">
      <w:pPr>
        <w:autoSpaceDE w:val="0"/>
        <w:autoSpaceDN w:val="0"/>
        <w:adjustRightInd w:val="0"/>
        <w:spacing w:after="0" w:line="240" w:lineRule="auto"/>
        <w:rPr>
          <w:rFonts w:ascii="Cambria" w:hAnsi="Cambria" w:cs="Helvetica"/>
          <w:sz w:val="24"/>
          <w:szCs w:val="24"/>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28"/>
      </w:tblGrid>
      <w:tr w:rsidR="00F73449" w14:paraId="7D1ACA47" w14:textId="77777777" w:rsidTr="00F73449">
        <w:trPr>
          <w:cantSplit/>
          <w:trHeight w:val="960"/>
        </w:trPr>
        <w:tc>
          <w:tcPr>
            <w:tcW w:w="10728" w:type="dxa"/>
            <w:tcBorders>
              <w:top w:val="nil"/>
              <w:left w:val="nil"/>
              <w:bottom w:val="nil"/>
              <w:right w:val="nil"/>
            </w:tcBorders>
          </w:tcPr>
          <w:p w14:paraId="01A6D539" w14:textId="77777777" w:rsidR="00F73449" w:rsidRPr="00D36A7F" w:rsidRDefault="00F73449" w:rsidP="00D36A7F">
            <w:pPr>
              <w:pStyle w:val="ListParagraph"/>
              <w:numPr>
                <w:ilvl w:val="0"/>
                <w:numId w:val="12"/>
              </w:numPr>
              <w:ind w:left="179" w:hanging="284"/>
              <w:rPr>
                <w:rFonts w:ascii="Cambria" w:hAnsi="Cambria"/>
                <w:bCs/>
                <w:sz w:val="20"/>
                <w:szCs w:val="20"/>
              </w:rPr>
            </w:pPr>
            <w:r w:rsidRPr="00D36A7F">
              <w:rPr>
                <w:rFonts w:ascii="Cambria" w:hAnsi="Cambria"/>
                <w:b/>
                <w:bCs/>
                <w:sz w:val="24"/>
                <w:szCs w:val="24"/>
              </w:rPr>
              <w:t>Organizational context:</w:t>
            </w:r>
            <w:r w:rsidR="00D36A7F" w:rsidRPr="00D36A7F">
              <w:rPr>
                <w:rFonts w:ascii="Cambria" w:hAnsi="Cambria"/>
                <w:b/>
                <w:bCs/>
                <w:sz w:val="24"/>
                <w:szCs w:val="24"/>
              </w:rPr>
              <w:t xml:space="preserve"> </w:t>
            </w:r>
            <w:r w:rsidR="00D36A7F" w:rsidRPr="00D36A7F">
              <w:rPr>
                <w:rFonts w:ascii="Cambria" w:hAnsi="Cambria"/>
                <w:bCs/>
                <w:sz w:val="20"/>
                <w:szCs w:val="20"/>
              </w:rPr>
              <w:t>(Describe the organizational setting of the post and the purpose of the post as well as any supervision given or received)</w:t>
            </w:r>
          </w:p>
          <w:p w14:paraId="04B78FFD" w14:textId="36B3986A" w:rsidR="006F23D4" w:rsidRDefault="006F23D4" w:rsidP="00E167D1">
            <w:pPr>
              <w:jc w:val="both"/>
              <w:rPr>
                <w:rFonts w:ascii="Cambria" w:hAnsi="Cambria"/>
                <w:sz w:val="24"/>
                <w:szCs w:val="24"/>
              </w:rPr>
            </w:pPr>
            <w:r>
              <w:rPr>
                <w:rFonts w:ascii="Cambria" w:hAnsi="Cambria"/>
                <w:sz w:val="24"/>
                <w:szCs w:val="24"/>
              </w:rPr>
              <w:t>M</w:t>
            </w:r>
            <w:r w:rsidRPr="006F23D4">
              <w:rPr>
                <w:rFonts w:ascii="Cambria" w:hAnsi="Cambria"/>
                <w:sz w:val="24"/>
                <w:szCs w:val="24"/>
              </w:rPr>
              <w:t>any people all over the globe experience the irritating phone calls or calls from parties pretending to be legitimate business ventures (e.g., representatives of banks, health insurance companies, etc.). Technically, these calling parties use the so-called spoofing number – which in essence is the manner in which the calling party number can be replaced with the number of an official enterprise or anyone of trust. As a result, the spoofing numbers as well as robocalls, along with other similar attacks make lives of the customers uncomfortable and unsecure.</w:t>
            </w:r>
          </w:p>
          <w:p w14:paraId="53AA588C" w14:textId="27AD40E0" w:rsidR="00F73449" w:rsidRDefault="00CE148C" w:rsidP="00E167D1">
            <w:pPr>
              <w:jc w:val="both"/>
              <w:rPr>
                <w:rFonts w:ascii="Cambria" w:hAnsi="Cambria"/>
                <w:sz w:val="24"/>
                <w:szCs w:val="24"/>
              </w:rPr>
            </w:pPr>
            <w:r>
              <w:rPr>
                <w:rFonts w:ascii="Cambria" w:hAnsi="Cambria"/>
                <w:sz w:val="24"/>
                <w:szCs w:val="24"/>
              </w:rPr>
              <w:t xml:space="preserve">The </w:t>
            </w:r>
            <w:r w:rsidR="007C0D6E">
              <w:rPr>
                <w:rFonts w:ascii="Cambria" w:hAnsi="Cambria"/>
                <w:sz w:val="24"/>
                <w:szCs w:val="24"/>
              </w:rPr>
              <w:t xml:space="preserve">number </w:t>
            </w:r>
            <w:r>
              <w:rPr>
                <w:rFonts w:ascii="Cambria" w:hAnsi="Cambria"/>
                <w:sz w:val="24"/>
                <w:szCs w:val="24"/>
              </w:rPr>
              <w:t xml:space="preserve">spoofing is possible due to </w:t>
            </w:r>
            <w:r w:rsidR="00E222E8">
              <w:rPr>
                <w:rFonts w:ascii="Cambria" w:hAnsi="Cambria"/>
                <w:sz w:val="24"/>
                <w:szCs w:val="24"/>
              </w:rPr>
              <w:t xml:space="preserve">the </w:t>
            </w:r>
            <w:r w:rsidR="00890246">
              <w:rPr>
                <w:rFonts w:ascii="Cambria" w:hAnsi="Cambria"/>
                <w:sz w:val="24"/>
                <w:szCs w:val="24"/>
              </w:rPr>
              <w:t xml:space="preserve">gaps </w:t>
            </w:r>
            <w:r w:rsidR="00FF69A1">
              <w:rPr>
                <w:rFonts w:ascii="Cambria" w:hAnsi="Cambria"/>
                <w:sz w:val="24"/>
                <w:szCs w:val="24"/>
              </w:rPr>
              <w:t xml:space="preserve">available </w:t>
            </w:r>
            <w:r w:rsidR="00890246">
              <w:rPr>
                <w:rFonts w:ascii="Cambria" w:hAnsi="Cambria"/>
                <w:sz w:val="24"/>
                <w:szCs w:val="24"/>
              </w:rPr>
              <w:t xml:space="preserve">in current signalling protocols which </w:t>
            </w:r>
            <w:r w:rsidR="00E167D1" w:rsidRPr="00E167D1">
              <w:rPr>
                <w:rFonts w:ascii="Cambria" w:hAnsi="Cambria"/>
                <w:sz w:val="24"/>
                <w:szCs w:val="24"/>
              </w:rPr>
              <w:t>play a cornerstone role in providing different ICT services from the simple audio/video sessions to the complex digital financial services widely used over the globe. These protocols and telecommunication networks were designed without consideration for security and privacy. It enables attacks on ICT infrastructure including exploiting signalling protocols used for different ICT services.</w:t>
            </w:r>
          </w:p>
          <w:p w14:paraId="784EAB9E" w14:textId="301428A7" w:rsidR="00D07B8A" w:rsidRPr="00D36A7F" w:rsidRDefault="009F4B23" w:rsidP="00E167D1">
            <w:pPr>
              <w:jc w:val="both"/>
              <w:rPr>
                <w:rFonts w:ascii="Tahoma" w:hAnsi="Tahoma" w:cs="Tahoma"/>
                <w:iCs/>
                <w:color w:val="000080"/>
                <w:szCs w:val="24"/>
                <w:lang w:val="en-GB"/>
              </w:rPr>
            </w:pPr>
            <w:r>
              <w:rPr>
                <w:rFonts w:ascii="Cambria" w:hAnsi="Cambria"/>
                <w:sz w:val="24"/>
                <w:szCs w:val="24"/>
              </w:rPr>
              <w:t xml:space="preserve">Since 2016, ITU-T is developing standards </w:t>
            </w:r>
            <w:r w:rsidR="00D413E4">
              <w:rPr>
                <w:rFonts w:ascii="Cambria" w:hAnsi="Cambria"/>
                <w:sz w:val="24"/>
                <w:szCs w:val="24"/>
              </w:rPr>
              <w:t>which may help to mitigate this issue</w:t>
            </w:r>
            <w:r w:rsidR="00AE0E69">
              <w:rPr>
                <w:rFonts w:ascii="Cambria" w:hAnsi="Cambria"/>
                <w:sz w:val="24"/>
                <w:szCs w:val="24"/>
              </w:rPr>
              <w:t xml:space="preserve">. </w:t>
            </w:r>
            <w:r w:rsidR="00472BB3">
              <w:rPr>
                <w:rFonts w:ascii="Cambria" w:hAnsi="Cambria"/>
                <w:sz w:val="24"/>
                <w:szCs w:val="24"/>
              </w:rPr>
              <w:t xml:space="preserve">Among the solutions is </w:t>
            </w:r>
            <w:r w:rsidR="00472BB3" w:rsidRPr="00472BB3">
              <w:rPr>
                <w:rFonts w:ascii="Cambria" w:hAnsi="Cambria"/>
                <w:sz w:val="24"/>
                <w:szCs w:val="24"/>
              </w:rPr>
              <w:t>the use of digital signature (digital certificates) in the signalling exchange which may guarantee the trustworthiness of the sender</w:t>
            </w:r>
            <w:r w:rsidR="00472BB3">
              <w:rPr>
                <w:rFonts w:ascii="Cambria" w:hAnsi="Cambria"/>
                <w:sz w:val="24"/>
                <w:szCs w:val="24"/>
              </w:rPr>
              <w:t xml:space="preserve">. </w:t>
            </w:r>
            <w:r w:rsidR="00AE0E69">
              <w:rPr>
                <w:rFonts w:ascii="Cambria" w:hAnsi="Cambria"/>
                <w:sz w:val="24"/>
                <w:szCs w:val="24"/>
              </w:rPr>
              <w:t xml:space="preserve">All related outcomes </w:t>
            </w:r>
            <w:r w:rsidR="00472BB3">
              <w:rPr>
                <w:rFonts w:ascii="Cambria" w:hAnsi="Cambria"/>
                <w:sz w:val="24"/>
                <w:szCs w:val="24"/>
              </w:rPr>
              <w:t xml:space="preserve">and related current ITU activities </w:t>
            </w:r>
            <w:r w:rsidR="00B57839">
              <w:rPr>
                <w:rFonts w:ascii="Cambria" w:hAnsi="Cambria"/>
                <w:sz w:val="24"/>
                <w:szCs w:val="24"/>
              </w:rPr>
              <w:t xml:space="preserve">on this matter </w:t>
            </w:r>
            <w:r w:rsidR="00AE0E69">
              <w:rPr>
                <w:rFonts w:ascii="Cambria" w:hAnsi="Cambria"/>
                <w:sz w:val="24"/>
                <w:szCs w:val="24"/>
              </w:rPr>
              <w:t xml:space="preserve">are available on </w:t>
            </w:r>
            <w:r w:rsidR="00B57839">
              <w:rPr>
                <w:rFonts w:ascii="Cambria" w:hAnsi="Cambria"/>
                <w:sz w:val="24"/>
                <w:szCs w:val="24"/>
              </w:rPr>
              <w:t xml:space="preserve">the </w:t>
            </w:r>
            <w:r w:rsidR="00AE0E69">
              <w:rPr>
                <w:rFonts w:ascii="Cambria" w:hAnsi="Cambria"/>
                <w:sz w:val="24"/>
                <w:szCs w:val="24"/>
              </w:rPr>
              <w:t xml:space="preserve">dedicated webpage at: </w:t>
            </w:r>
            <w:hyperlink r:id="rId8" w:history="1">
              <w:r w:rsidR="00AE0E69" w:rsidRPr="008030AD">
                <w:rPr>
                  <w:rStyle w:val="Hyperlink"/>
                  <w:rFonts w:ascii="Cambria" w:hAnsi="Cambria"/>
                  <w:sz w:val="24"/>
                  <w:szCs w:val="24"/>
                </w:rPr>
                <w:t>https://itu.int/go/SIG-SECURITY</w:t>
              </w:r>
            </w:hyperlink>
            <w:r w:rsidR="00AE0E69">
              <w:rPr>
                <w:rFonts w:ascii="Cambria" w:hAnsi="Cambria"/>
                <w:sz w:val="24"/>
                <w:szCs w:val="24"/>
              </w:rPr>
              <w:t>.</w:t>
            </w:r>
          </w:p>
        </w:tc>
      </w:tr>
    </w:tbl>
    <w:p w14:paraId="029A675C" w14:textId="63CEEB88" w:rsidR="005F4A50" w:rsidRPr="005F4A50" w:rsidRDefault="00C5422D" w:rsidP="005F4A50">
      <w:pPr>
        <w:pStyle w:val="Heading2"/>
        <w:numPr>
          <w:ilvl w:val="0"/>
          <w:numId w:val="12"/>
        </w:numPr>
        <w:spacing w:before="240" w:after="240"/>
        <w:ind w:left="284" w:hanging="284"/>
        <w:jc w:val="both"/>
        <w:rPr>
          <w:rFonts w:ascii="Cambria" w:hAnsi="Cambria"/>
          <w:bCs/>
          <w:i/>
          <w:sz w:val="20"/>
        </w:rPr>
      </w:pPr>
      <w:r w:rsidRPr="005F4A50">
        <w:rPr>
          <w:rFonts w:ascii="Cambria" w:hAnsi="Cambria"/>
          <w:b/>
          <w:bCs/>
          <w:szCs w:val="24"/>
          <w:u w:val="none"/>
        </w:rPr>
        <w:t>Terms of Reference / Internship Objective</w:t>
      </w:r>
      <w:r w:rsidR="00ED3D4B" w:rsidRPr="005F4A50">
        <w:rPr>
          <w:rFonts w:ascii="Cambria" w:hAnsi="Cambria"/>
          <w:b/>
          <w:bCs/>
          <w:szCs w:val="24"/>
          <w:u w:val="none"/>
        </w:rPr>
        <w:t>:</w:t>
      </w:r>
      <w:r w:rsidR="003857A7" w:rsidRPr="005F4A50">
        <w:rPr>
          <w:rFonts w:ascii="Cambria" w:hAnsi="Cambria"/>
          <w:b/>
          <w:bCs/>
          <w:szCs w:val="24"/>
          <w:u w:val="none"/>
        </w:rPr>
        <w:t xml:space="preserve"> </w:t>
      </w:r>
    </w:p>
    <w:p w14:paraId="43C43C81" w14:textId="79FEFA84" w:rsidR="007A6C06" w:rsidRPr="007A6C06" w:rsidRDefault="007A6C06" w:rsidP="007A6C06">
      <w:pPr>
        <w:spacing w:line="240" w:lineRule="auto"/>
        <w:rPr>
          <w:rFonts w:ascii="Cambria" w:eastAsia="Times New Roman" w:hAnsi="Cambria" w:cs="Arial"/>
          <w:color w:val="000000"/>
          <w:sz w:val="24"/>
          <w:szCs w:val="24"/>
        </w:rPr>
      </w:pPr>
      <w:r w:rsidRPr="007A6C06">
        <w:rPr>
          <w:rFonts w:ascii="Cambria" w:eastAsia="Times New Roman" w:hAnsi="Cambria" w:cs="Arial"/>
          <w:color w:val="000000"/>
          <w:sz w:val="24"/>
          <w:szCs w:val="24"/>
        </w:rPr>
        <w:t xml:space="preserve">Under the supervision of </w:t>
      </w:r>
      <w:r w:rsidR="000A46A2">
        <w:rPr>
          <w:rFonts w:ascii="Cambria" w:eastAsia="Times New Roman" w:hAnsi="Cambria" w:cs="Arial"/>
          <w:color w:val="000000"/>
          <w:sz w:val="24"/>
          <w:szCs w:val="24"/>
        </w:rPr>
        <w:t>the ITU-T SG11 Advisor</w:t>
      </w:r>
      <w:r w:rsidRPr="007A6C06">
        <w:rPr>
          <w:rFonts w:ascii="Cambria" w:eastAsia="Times New Roman" w:hAnsi="Cambria" w:cs="Arial"/>
          <w:color w:val="000000"/>
          <w:sz w:val="24"/>
          <w:szCs w:val="24"/>
        </w:rPr>
        <w:t xml:space="preserve">, the </w:t>
      </w:r>
      <w:r w:rsidR="005F4A50">
        <w:rPr>
          <w:rFonts w:ascii="Cambria" w:eastAsia="Times New Roman" w:hAnsi="Cambria" w:cs="Arial"/>
          <w:color w:val="000000"/>
          <w:sz w:val="24"/>
          <w:szCs w:val="24"/>
        </w:rPr>
        <w:t>Intern</w:t>
      </w:r>
      <w:r w:rsidRPr="007A6C06">
        <w:rPr>
          <w:rFonts w:ascii="Cambria" w:eastAsia="Times New Roman" w:hAnsi="Cambria" w:cs="Arial"/>
          <w:color w:val="000000"/>
          <w:sz w:val="24"/>
          <w:szCs w:val="24"/>
        </w:rPr>
        <w:t xml:space="preserve"> will:</w:t>
      </w:r>
    </w:p>
    <w:p w14:paraId="2F686F3A" w14:textId="520BEAB1" w:rsidR="009C2927" w:rsidRDefault="009D53F7" w:rsidP="009C57CB">
      <w:pPr>
        <w:pStyle w:val="ListParagraph"/>
        <w:numPr>
          <w:ilvl w:val="0"/>
          <w:numId w:val="8"/>
        </w:numPr>
        <w:tabs>
          <w:tab w:val="clear" w:pos="720"/>
        </w:tabs>
        <w:snapToGrid w:val="0"/>
        <w:spacing w:after="120" w:line="240" w:lineRule="auto"/>
        <w:contextualSpacing w:val="0"/>
        <w:rPr>
          <w:rFonts w:ascii="Cambria" w:hAnsi="Cambria" w:cs="Arial"/>
          <w:color w:val="000000"/>
          <w:sz w:val="24"/>
          <w:szCs w:val="24"/>
          <w:lang w:val="en-GB"/>
        </w:rPr>
      </w:pPr>
      <w:r w:rsidRPr="009D53F7">
        <w:rPr>
          <w:rFonts w:ascii="Cambria" w:hAnsi="Cambria" w:cs="Arial"/>
          <w:color w:val="000000"/>
          <w:sz w:val="24"/>
          <w:szCs w:val="24"/>
          <w:lang w:val="en-GB"/>
        </w:rPr>
        <w:t xml:space="preserve">Learn about </w:t>
      </w:r>
      <w:r>
        <w:rPr>
          <w:rFonts w:ascii="Cambria" w:hAnsi="Cambria" w:cs="Arial"/>
          <w:color w:val="000000"/>
          <w:sz w:val="24"/>
          <w:szCs w:val="24"/>
          <w:lang w:val="en-GB"/>
        </w:rPr>
        <w:t xml:space="preserve">ITU-T </w:t>
      </w:r>
      <w:r w:rsidRPr="009D53F7">
        <w:rPr>
          <w:rFonts w:ascii="Cambria" w:hAnsi="Cambria" w:cs="Arial"/>
          <w:color w:val="000000"/>
          <w:sz w:val="24"/>
          <w:szCs w:val="24"/>
          <w:lang w:val="en-GB"/>
        </w:rPr>
        <w:t xml:space="preserve">standards </w:t>
      </w:r>
      <w:r w:rsidR="00B57839">
        <w:rPr>
          <w:rFonts w:ascii="Cambria" w:hAnsi="Cambria" w:cs="Arial"/>
          <w:color w:val="000000"/>
          <w:sz w:val="24"/>
          <w:szCs w:val="24"/>
          <w:lang w:val="en-GB"/>
        </w:rPr>
        <w:t xml:space="preserve">on signalling security </w:t>
      </w:r>
      <w:r>
        <w:rPr>
          <w:rFonts w:ascii="Cambria" w:hAnsi="Cambria" w:cs="Arial"/>
          <w:color w:val="000000"/>
          <w:sz w:val="24"/>
          <w:szCs w:val="24"/>
          <w:lang w:val="en-GB"/>
        </w:rPr>
        <w:t xml:space="preserve">and </w:t>
      </w:r>
      <w:r w:rsidRPr="009D53F7">
        <w:rPr>
          <w:rFonts w:ascii="Cambria" w:hAnsi="Cambria" w:cs="Arial"/>
          <w:color w:val="000000"/>
          <w:sz w:val="24"/>
          <w:szCs w:val="24"/>
          <w:lang w:val="en-GB"/>
        </w:rPr>
        <w:t xml:space="preserve">regulations </w:t>
      </w:r>
      <w:r>
        <w:rPr>
          <w:rFonts w:ascii="Cambria" w:hAnsi="Cambria" w:cs="Arial"/>
          <w:color w:val="000000"/>
          <w:sz w:val="24"/>
          <w:szCs w:val="24"/>
          <w:lang w:val="en-GB"/>
        </w:rPr>
        <w:t xml:space="preserve">in place </w:t>
      </w:r>
      <w:r w:rsidR="007D08F1">
        <w:rPr>
          <w:rFonts w:ascii="Cambria" w:hAnsi="Cambria" w:cs="Arial"/>
          <w:color w:val="000000"/>
          <w:sz w:val="24"/>
          <w:szCs w:val="24"/>
          <w:lang w:val="en-GB"/>
        </w:rPr>
        <w:t xml:space="preserve">to stop </w:t>
      </w:r>
      <w:r w:rsidR="00CE22AC">
        <w:rPr>
          <w:rFonts w:ascii="Cambria" w:hAnsi="Cambria" w:cs="Arial"/>
          <w:color w:val="000000"/>
          <w:sz w:val="24"/>
          <w:szCs w:val="24"/>
          <w:lang w:val="en-GB"/>
        </w:rPr>
        <w:t xml:space="preserve">number </w:t>
      </w:r>
      <w:r>
        <w:rPr>
          <w:rFonts w:ascii="Cambria" w:hAnsi="Cambria" w:cs="Arial"/>
          <w:color w:val="000000"/>
          <w:sz w:val="24"/>
          <w:szCs w:val="24"/>
          <w:lang w:val="en-GB"/>
        </w:rPr>
        <w:t>spoofing</w:t>
      </w:r>
      <w:r w:rsidRPr="009D53F7">
        <w:rPr>
          <w:rFonts w:ascii="Cambria" w:hAnsi="Cambria" w:cs="Arial"/>
          <w:color w:val="000000"/>
          <w:sz w:val="24"/>
          <w:szCs w:val="24"/>
          <w:lang w:val="en-GB"/>
        </w:rPr>
        <w:t>.</w:t>
      </w:r>
    </w:p>
    <w:p w14:paraId="11314F32" w14:textId="09FA3681" w:rsidR="00B71841" w:rsidRDefault="00B71841" w:rsidP="009C57CB">
      <w:pPr>
        <w:pStyle w:val="ListParagraph"/>
        <w:numPr>
          <w:ilvl w:val="0"/>
          <w:numId w:val="8"/>
        </w:numPr>
        <w:tabs>
          <w:tab w:val="clear" w:pos="720"/>
        </w:tabs>
        <w:snapToGrid w:val="0"/>
        <w:spacing w:after="120" w:line="240" w:lineRule="auto"/>
        <w:contextualSpacing w:val="0"/>
        <w:rPr>
          <w:rFonts w:ascii="Cambria" w:hAnsi="Cambria" w:cs="Arial"/>
          <w:color w:val="000000"/>
          <w:sz w:val="24"/>
          <w:szCs w:val="24"/>
          <w:lang w:val="en-GB"/>
        </w:rPr>
      </w:pPr>
      <w:r>
        <w:rPr>
          <w:rFonts w:ascii="Cambria" w:hAnsi="Cambria" w:cs="Arial"/>
          <w:color w:val="000000"/>
          <w:sz w:val="24"/>
          <w:szCs w:val="24"/>
          <w:lang w:val="en-GB"/>
        </w:rPr>
        <w:t>Analyse current situation on number spoofing and robocalls, including AI-based calls and their consequences over the globe.</w:t>
      </w:r>
    </w:p>
    <w:p w14:paraId="6072AC15" w14:textId="1A79B25E" w:rsidR="007D08F1" w:rsidRDefault="007E3759" w:rsidP="009C57CB">
      <w:pPr>
        <w:pStyle w:val="ListParagraph"/>
        <w:numPr>
          <w:ilvl w:val="0"/>
          <w:numId w:val="8"/>
        </w:numPr>
        <w:tabs>
          <w:tab w:val="clear" w:pos="720"/>
        </w:tabs>
        <w:snapToGrid w:val="0"/>
        <w:spacing w:after="120" w:line="240" w:lineRule="auto"/>
        <w:contextualSpacing w:val="0"/>
        <w:rPr>
          <w:rFonts w:ascii="Cambria" w:hAnsi="Cambria" w:cs="Arial"/>
          <w:color w:val="000000"/>
          <w:sz w:val="24"/>
          <w:szCs w:val="24"/>
          <w:lang w:val="en-GB"/>
        </w:rPr>
      </w:pPr>
      <w:r w:rsidRPr="007E3759">
        <w:rPr>
          <w:rFonts w:ascii="Cambria" w:hAnsi="Cambria" w:cs="Arial"/>
          <w:color w:val="000000"/>
          <w:sz w:val="24"/>
          <w:szCs w:val="24"/>
          <w:lang w:val="en-GB"/>
        </w:rPr>
        <w:t>Attend training sessions</w:t>
      </w:r>
      <w:r w:rsidR="00EA3ADA">
        <w:rPr>
          <w:rFonts w:ascii="Cambria" w:hAnsi="Cambria" w:cs="Arial"/>
          <w:color w:val="000000"/>
          <w:sz w:val="24"/>
          <w:szCs w:val="24"/>
          <w:lang w:val="en-GB"/>
        </w:rPr>
        <w:t>,</w:t>
      </w:r>
      <w:r w:rsidRPr="007E3759">
        <w:rPr>
          <w:rFonts w:ascii="Cambria" w:hAnsi="Cambria" w:cs="Arial"/>
          <w:color w:val="000000"/>
          <w:sz w:val="24"/>
          <w:szCs w:val="24"/>
          <w:lang w:val="en-GB"/>
        </w:rPr>
        <w:t xml:space="preserve"> workshops </w:t>
      </w:r>
      <w:r w:rsidR="00EA3ADA">
        <w:rPr>
          <w:rFonts w:ascii="Cambria" w:hAnsi="Cambria" w:cs="Arial"/>
          <w:color w:val="000000"/>
          <w:sz w:val="24"/>
          <w:szCs w:val="24"/>
          <w:lang w:val="en-GB"/>
        </w:rPr>
        <w:t xml:space="preserve">and webinars </w:t>
      </w:r>
      <w:r w:rsidRPr="007E3759">
        <w:rPr>
          <w:rFonts w:ascii="Cambria" w:hAnsi="Cambria" w:cs="Arial"/>
          <w:color w:val="000000"/>
          <w:sz w:val="24"/>
          <w:szCs w:val="24"/>
          <w:lang w:val="en-GB"/>
        </w:rPr>
        <w:t>to enhance technical skills and knowledge of telecommunication technologies and protocols.</w:t>
      </w:r>
    </w:p>
    <w:p w14:paraId="211F4A1B" w14:textId="0B7B2AB1" w:rsidR="009C57CB" w:rsidRDefault="009C57CB" w:rsidP="009C57CB">
      <w:pPr>
        <w:pStyle w:val="ListParagraph"/>
        <w:numPr>
          <w:ilvl w:val="0"/>
          <w:numId w:val="8"/>
        </w:numPr>
        <w:tabs>
          <w:tab w:val="clear" w:pos="720"/>
        </w:tabs>
        <w:snapToGrid w:val="0"/>
        <w:spacing w:after="120" w:line="240" w:lineRule="auto"/>
        <w:contextualSpacing w:val="0"/>
        <w:rPr>
          <w:rFonts w:ascii="Cambria" w:hAnsi="Cambria" w:cs="Arial"/>
          <w:color w:val="000000"/>
          <w:sz w:val="24"/>
          <w:szCs w:val="24"/>
          <w:lang w:val="en-GB"/>
        </w:rPr>
      </w:pPr>
      <w:r w:rsidRPr="0050486C">
        <w:rPr>
          <w:rFonts w:ascii="Cambria" w:hAnsi="Cambria" w:cs="Arial"/>
          <w:color w:val="000000"/>
          <w:sz w:val="24"/>
          <w:szCs w:val="24"/>
          <w:lang w:val="en-GB"/>
        </w:rPr>
        <w:lastRenderedPageBreak/>
        <w:t>Facilitate implementation of ongoing projects</w:t>
      </w:r>
      <w:r w:rsidR="008566FD">
        <w:rPr>
          <w:rFonts w:ascii="Cambria" w:hAnsi="Cambria" w:cs="Arial"/>
          <w:color w:val="000000"/>
          <w:sz w:val="24"/>
          <w:szCs w:val="24"/>
          <w:lang w:val="en-GB"/>
        </w:rPr>
        <w:t>, activities</w:t>
      </w:r>
      <w:r w:rsidRPr="0050486C">
        <w:rPr>
          <w:rFonts w:ascii="Cambria" w:hAnsi="Cambria" w:cs="Arial"/>
          <w:color w:val="000000"/>
          <w:sz w:val="24"/>
          <w:szCs w:val="24"/>
          <w:lang w:val="en-GB"/>
        </w:rPr>
        <w:t xml:space="preserve"> and </w:t>
      </w:r>
      <w:r w:rsidR="0043778E">
        <w:rPr>
          <w:rFonts w:ascii="Cambria" w:hAnsi="Cambria" w:cs="Arial"/>
          <w:color w:val="000000"/>
          <w:sz w:val="24"/>
          <w:szCs w:val="24"/>
          <w:lang w:val="en-GB"/>
        </w:rPr>
        <w:t xml:space="preserve">organization of </w:t>
      </w:r>
      <w:r w:rsidRPr="0050486C">
        <w:rPr>
          <w:rFonts w:ascii="Cambria" w:hAnsi="Cambria" w:cs="Arial"/>
          <w:color w:val="000000"/>
          <w:sz w:val="24"/>
          <w:szCs w:val="24"/>
          <w:lang w:val="en-GB"/>
        </w:rPr>
        <w:t xml:space="preserve">events related to the </w:t>
      </w:r>
      <w:r w:rsidR="009F4FF3">
        <w:rPr>
          <w:rFonts w:ascii="Cambria" w:hAnsi="Cambria" w:cs="Arial"/>
          <w:color w:val="000000"/>
          <w:sz w:val="24"/>
          <w:szCs w:val="24"/>
          <w:lang w:val="en-GB"/>
        </w:rPr>
        <w:t xml:space="preserve">signalling security </w:t>
      </w:r>
      <w:r w:rsidR="00FA660A">
        <w:rPr>
          <w:rFonts w:ascii="Cambria" w:hAnsi="Cambria" w:cs="Arial"/>
          <w:color w:val="000000"/>
          <w:sz w:val="24"/>
          <w:szCs w:val="24"/>
          <w:lang w:val="en-GB"/>
        </w:rPr>
        <w:t xml:space="preserve">issue and related </w:t>
      </w:r>
      <w:r w:rsidR="009F4FF3">
        <w:rPr>
          <w:rFonts w:ascii="Cambria" w:hAnsi="Cambria" w:cs="Arial"/>
          <w:color w:val="000000"/>
          <w:sz w:val="24"/>
          <w:szCs w:val="24"/>
          <w:lang w:val="en-GB"/>
        </w:rPr>
        <w:t>aspects</w:t>
      </w:r>
      <w:r w:rsidRPr="0050486C">
        <w:rPr>
          <w:rFonts w:ascii="Cambria" w:hAnsi="Cambria" w:cs="Arial"/>
          <w:color w:val="000000"/>
          <w:sz w:val="24"/>
          <w:szCs w:val="24"/>
          <w:lang w:val="en-GB"/>
        </w:rPr>
        <w:t>;</w:t>
      </w:r>
    </w:p>
    <w:p w14:paraId="5627FA78" w14:textId="0D326FDE" w:rsidR="0070771E" w:rsidRDefault="0070771E" w:rsidP="009C57CB">
      <w:pPr>
        <w:pStyle w:val="ListParagraph"/>
        <w:numPr>
          <w:ilvl w:val="0"/>
          <w:numId w:val="8"/>
        </w:numPr>
        <w:tabs>
          <w:tab w:val="clear" w:pos="720"/>
        </w:tabs>
        <w:snapToGrid w:val="0"/>
        <w:spacing w:after="120" w:line="240" w:lineRule="auto"/>
        <w:contextualSpacing w:val="0"/>
        <w:rPr>
          <w:rFonts w:ascii="Cambria" w:hAnsi="Cambria" w:cs="Arial"/>
          <w:color w:val="000000"/>
          <w:sz w:val="24"/>
          <w:szCs w:val="24"/>
          <w:lang w:val="en-GB"/>
        </w:rPr>
      </w:pPr>
      <w:r w:rsidRPr="0050486C">
        <w:rPr>
          <w:rFonts w:ascii="Cambria" w:hAnsi="Cambria" w:cs="Arial"/>
          <w:color w:val="000000"/>
          <w:sz w:val="24"/>
          <w:szCs w:val="24"/>
          <w:lang w:val="en-GB"/>
        </w:rPr>
        <w:t>Facilitate the involvement of new interested parties</w:t>
      </w:r>
      <w:r w:rsidR="000048E9">
        <w:rPr>
          <w:rFonts w:ascii="Cambria" w:hAnsi="Cambria" w:cs="Arial"/>
          <w:color w:val="000000"/>
          <w:sz w:val="24"/>
          <w:szCs w:val="24"/>
          <w:lang w:val="en-GB"/>
        </w:rPr>
        <w:t xml:space="preserve"> on these activities</w:t>
      </w:r>
      <w:r>
        <w:rPr>
          <w:rFonts w:ascii="Cambria" w:hAnsi="Cambria" w:cs="Arial"/>
          <w:color w:val="000000"/>
          <w:sz w:val="24"/>
          <w:szCs w:val="24"/>
          <w:lang w:val="en-GB"/>
        </w:rPr>
        <w:t>;</w:t>
      </w:r>
    </w:p>
    <w:p w14:paraId="486AB9CA" w14:textId="65BC7739" w:rsidR="009C57CB" w:rsidRDefault="009C57CB" w:rsidP="009C57CB">
      <w:pPr>
        <w:pStyle w:val="ListParagraph"/>
        <w:numPr>
          <w:ilvl w:val="0"/>
          <w:numId w:val="8"/>
        </w:numPr>
        <w:tabs>
          <w:tab w:val="clear" w:pos="720"/>
        </w:tabs>
        <w:snapToGrid w:val="0"/>
        <w:spacing w:after="120" w:line="240" w:lineRule="auto"/>
        <w:contextualSpacing w:val="0"/>
        <w:rPr>
          <w:rFonts w:ascii="Cambria" w:hAnsi="Cambria" w:cs="Arial"/>
          <w:color w:val="000000"/>
          <w:sz w:val="24"/>
          <w:szCs w:val="24"/>
          <w:lang w:val="en-GB"/>
        </w:rPr>
      </w:pPr>
      <w:r>
        <w:rPr>
          <w:rFonts w:ascii="Cambria" w:hAnsi="Cambria" w:cs="Arial"/>
          <w:color w:val="000000"/>
          <w:sz w:val="24"/>
          <w:szCs w:val="24"/>
          <w:lang w:val="en-GB"/>
        </w:rPr>
        <w:t>W</w:t>
      </w:r>
      <w:r w:rsidRPr="0050486C">
        <w:rPr>
          <w:rFonts w:ascii="Cambria" w:hAnsi="Cambria" w:cs="Arial"/>
          <w:color w:val="000000"/>
          <w:sz w:val="24"/>
          <w:szCs w:val="24"/>
          <w:lang w:val="en-GB"/>
        </w:rPr>
        <w:t xml:space="preserve">rite surveys and reports related to </w:t>
      </w:r>
      <w:r>
        <w:rPr>
          <w:rFonts w:ascii="Cambria" w:hAnsi="Cambria" w:cs="Arial"/>
          <w:color w:val="000000"/>
          <w:sz w:val="24"/>
          <w:szCs w:val="24"/>
          <w:lang w:val="en-GB"/>
        </w:rPr>
        <w:t xml:space="preserve">signalling security issues, </w:t>
      </w:r>
      <w:r w:rsidR="009F4FF3">
        <w:rPr>
          <w:rFonts w:ascii="Cambria" w:hAnsi="Cambria" w:cs="Arial"/>
          <w:color w:val="000000"/>
          <w:sz w:val="24"/>
          <w:szCs w:val="24"/>
          <w:lang w:val="en-GB"/>
        </w:rPr>
        <w:t xml:space="preserve">and related </w:t>
      </w:r>
      <w:r w:rsidR="00D10250">
        <w:rPr>
          <w:rFonts w:ascii="Cambria" w:hAnsi="Cambria" w:cs="Arial"/>
          <w:color w:val="000000"/>
          <w:sz w:val="24"/>
          <w:szCs w:val="24"/>
          <w:lang w:val="en-GB"/>
        </w:rPr>
        <w:t>aspects</w:t>
      </w:r>
      <w:r w:rsidRPr="0050486C">
        <w:rPr>
          <w:rFonts w:ascii="Cambria" w:hAnsi="Cambria" w:cs="Arial"/>
          <w:color w:val="000000"/>
          <w:sz w:val="24"/>
          <w:szCs w:val="24"/>
          <w:lang w:val="en-GB"/>
        </w:rPr>
        <w:t>;</w:t>
      </w:r>
    </w:p>
    <w:p w14:paraId="304460B7" w14:textId="692CAD52" w:rsidR="009F4FF3" w:rsidRDefault="00A94979" w:rsidP="009C57CB">
      <w:pPr>
        <w:pStyle w:val="ListParagraph"/>
        <w:numPr>
          <w:ilvl w:val="0"/>
          <w:numId w:val="8"/>
        </w:numPr>
        <w:tabs>
          <w:tab w:val="clear" w:pos="720"/>
        </w:tabs>
        <w:snapToGrid w:val="0"/>
        <w:spacing w:after="120" w:line="240" w:lineRule="auto"/>
        <w:contextualSpacing w:val="0"/>
        <w:rPr>
          <w:rFonts w:ascii="Cambria" w:hAnsi="Cambria" w:cs="Arial"/>
          <w:color w:val="000000"/>
          <w:sz w:val="24"/>
          <w:szCs w:val="24"/>
          <w:lang w:val="en-GB"/>
        </w:rPr>
      </w:pPr>
      <w:r>
        <w:rPr>
          <w:rFonts w:ascii="Cambria" w:hAnsi="Cambria" w:cs="Arial"/>
          <w:color w:val="000000"/>
          <w:sz w:val="24"/>
          <w:szCs w:val="24"/>
          <w:lang w:val="en-GB"/>
        </w:rPr>
        <w:t>S</w:t>
      </w:r>
      <w:r w:rsidR="000D548B" w:rsidRPr="0050486C">
        <w:rPr>
          <w:rFonts w:ascii="Cambria" w:hAnsi="Cambria" w:cs="Arial"/>
          <w:color w:val="000000"/>
          <w:sz w:val="24"/>
          <w:szCs w:val="24"/>
          <w:lang w:val="en-GB"/>
        </w:rPr>
        <w:t>upport in carrying out preparatory work for related events, meetings and attend the events, when required;</w:t>
      </w:r>
    </w:p>
    <w:p w14:paraId="36ADDE41" w14:textId="77777777" w:rsidR="000A46A2" w:rsidRPr="0050486C" w:rsidRDefault="000A46A2" w:rsidP="000A46A2">
      <w:pPr>
        <w:pStyle w:val="ListParagraph"/>
        <w:numPr>
          <w:ilvl w:val="0"/>
          <w:numId w:val="8"/>
        </w:numPr>
        <w:tabs>
          <w:tab w:val="clear" w:pos="720"/>
        </w:tabs>
        <w:snapToGrid w:val="0"/>
        <w:spacing w:after="120" w:line="240" w:lineRule="auto"/>
        <w:contextualSpacing w:val="0"/>
        <w:rPr>
          <w:rFonts w:ascii="Cambria" w:hAnsi="Cambria" w:cs="Arial"/>
          <w:color w:val="000000"/>
          <w:sz w:val="24"/>
          <w:szCs w:val="24"/>
          <w:lang w:val="en-GB"/>
        </w:rPr>
      </w:pPr>
      <w:r w:rsidRPr="0050486C">
        <w:rPr>
          <w:rFonts w:ascii="Cambria" w:hAnsi="Cambria" w:cs="Arial"/>
          <w:color w:val="000000"/>
          <w:sz w:val="24"/>
          <w:szCs w:val="24"/>
          <w:lang w:val="en-GB"/>
        </w:rPr>
        <w:t>Prepare related administrative and technical correspondence, including briefings, background papers on related activities and respond to external and internal inquiries;</w:t>
      </w:r>
    </w:p>
    <w:p w14:paraId="4734392E" w14:textId="33916D24" w:rsidR="000A46A2" w:rsidRPr="0050486C" w:rsidRDefault="000A46A2" w:rsidP="000A46A2">
      <w:pPr>
        <w:pStyle w:val="ListParagraph"/>
        <w:numPr>
          <w:ilvl w:val="0"/>
          <w:numId w:val="8"/>
        </w:numPr>
        <w:tabs>
          <w:tab w:val="clear" w:pos="720"/>
        </w:tabs>
        <w:snapToGrid w:val="0"/>
        <w:spacing w:after="120" w:line="240" w:lineRule="auto"/>
        <w:contextualSpacing w:val="0"/>
        <w:rPr>
          <w:rFonts w:ascii="Cambria" w:hAnsi="Cambria" w:cs="Arial"/>
          <w:color w:val="000000"/>
          <w:sz w:val="24"/>
          <w:szCs w:val="24"/>
          <w:lang w:val="en-GB"/>
        </w:rPr>
      </w:pPr>
      <w:r w:rsidRPr="0050486C">
        <w:rPr>
          <w:rFonts w:ascii="Cambria" w:hAnsi="Cambria" w:cs="Arial"/>
          <w:color w:val="000000"/>
          <w:sz w:val="24"/>
          <w:szCs w:val="24"/>
          <w:lang w:val="en-GB"/>
        </w:rPr>
        <w:t>Assist with promoting related activities</w:t>
      </w:r>
      <w:r w:rsidR="000048E9">
        <w:rPr>
          <w:rFonts w:ascii="Cambria" w:hAnsi="Cambria" w:cs="Arial"/>
          <w:color w:val="000000"/>
          <w:sz w:val="24"/>
          <w:szCs w:val="24"/>
          <w:lang w:val="en-GB"/>
        </w:rPr>
        <w:t xml:space="preserve"> and events</w:t>
      </w:r>
      <w:r w:rsidRPr="0050486C">
        <w:rPr>
          <w:rFonts w:ascii="Cambria" w:hAnsi="Cambria" w:cs="Arial"/>
          <w:color w:val="000000"/>
          <w:sz w:val="24"/>
          <w:szCs w:val="24"/>
          <w:lang w:val="en-GB"/>
        </w:rPr>
        <w:t>;</w:t>
      </w:r>
    </w:p>
    <w:p w14:paraId="1328A17A" w14:textId="218CECDB" w:rsidR="003857A7" w:rsidRDefault="003857A7" w:rsidP="003857A7">
      <w:pPr>
        <w:pStyle w:val="Default"/>
        <w:numPr>
          <w:ilvl w:val="0"/>
          <w:numId w:val="12"/>
        </w:numPr>
        <w:spacing w:before="120"/>
        <w:ind w:left="284" w:hanging="284"/>
        <w:jc w:val="both"/>
        <w:rPr>
          <w:rFonts w:ascii="Cambria" w:hAnsi="Cambria"/>
          <w:b/>
          <w:bCs/>
        </w:rPr>
      </w:pPr>
      <w:r>
        <w:rPr>
          <w:rFonts w:ascii="Cambria" w:hAnsi="Cambria"/>
          <w:b/>
          <w:bCs/>
        </w:rPr>
        <w:t>Competencies</w:t>
      </w:r>
    </w:p>
    <w:p w14:paraId="18C77162" w14:textId="77777777" w:rsidR="003857A7" w:rsidRPr="003857A7" w:rsidRDefault="003857A7" w:rsidP="003857A7">
      <w:pPr>
        <w:pStyle w:val="ListParagraph"/>
        <w:spacing w:after="0" w:line="240" w:lineRule="auto"/>
        <w:rPr>
          <w:rFonts w:ascii="Cambria" w:eastAsia="Times New Roman" w:hAnsi="Cambria" w:cs="Arial"/>
          <w:color w:val="000000"/>
          <w:sz w:val="24"/>
          <w:szCs w:val="24"/>
        </w:rPr>
      </w:pPr>
    </w:p>
    <w:p w14:paraId="36556896" w14:textId="0AC77980" w:rsidR="003857A7" w:rsidRPr="005F4A50" w:rsidRDefault="003857A7" w:rsidP="005F4A50">
      <w:pPr>
        <w:jc w:val="both"/>
        <w:rPr>
          <w:rFonts w:ascii="Cambria" w:eastAsia="Times New Roman" w:hAnsi="Cambria" w:cs="Arial"/>
          <w:i/>
          <w:color w:val="000000"/>
          <w:sz w:val="20"/>
          <w:szCs w:val="20"/>
        </w:rPr>
      </w:pPr>
      <w:r w:rsidRPr="005F4A50">
        <w:rPr>
          <w:rFonts w:ascii="Cambria" w:eastAsia="Times New Roman" w:hAnsi="Cambria" w:cs="Arial"/>
          <w:b/>
          <w:bCs/>
          <w:color w:val="000000"/>
          <w:sz w:val="24"/>
          <w:szCs w:val="24"/>
        </w:rPr>
        <w:t>Technical Competencies</w:t>
      </w:r>
      <w:r w:rsidR="00693293">
        <w:rPr>
          <w:rFonts w:ascii="Cambria" w:eastAsia="Times New Roman" w:hAnsi="Cambria" w:cs="Arial"/>
          <w:color w:val="000000"/>
          <w:sz w:val="24"/>
          <w:szCs w:val="24"/>
        </w:rPr>
        <w:t xml:space="preserve"> </w:t>
      </w:r>
      <w:r w:rsidRPr="005F4A50">
        <w:rPr>
          <w:rFonts w:ascii="Cambria" w:eastAsia="Times New Roman" w:hAnsi="Cambria" w:cs="Arial"/>
          <w:i/>
          <w:color w:val="000000"/>
          <w:sz w:val="20"/>
          <w:szCs w:val="20"/>
        </w:rPr>
        <w:t>(Examples of technical competencies are knowledge of regulatory frameworks, ERP or project management methodologies, etc.):</w:t>
      </w:r>
    </w:p>
    <w:p w14:paraId="7B2001DA" w14:textId="3D44AE93" w:rsidR="00B41D04" w:rsidRDefault="00BE45A3" w:rsidP="00ED3D4B">
      <w:pPr>
        <w:pStyle w:val="Default"/>
        <w:spacing w:before="120"/>
        <w:jc w:val="both"/>
        <w:rPr>
          <w:rFonts w:ascii="Cambria" w:hAnsi="Cambria"/>
        </w:rPr>
      </w:pPr>
      <w:r w:rsidRPr="00DD4EDE">
        <w:rPr>
          <w:rFonts w:ascii="Cambria" w:eastAsia="Times New Roman" w:hAnsi="Cambria" w:cs="Arial"/>
        </w:rPr>
        <w:t>Good analytical skills</w:t>
      </w:r>
      <w:r>
        <w:rPr>
          <w:rFonts w:ascii="Cambria" w:eastAsia="Times New Roman" w:hAnsi="Cambria" w:cs="Arial"/>
        </w:rPr>
        <w:t>;</w:t>
      </w:r>
      <w:r w:rsidRPr="00DD4EDE">
        <w:rPr>
          <w:rFonts w:ascii="Cambria" w:eastAsia="Times New Roman" w:hAnsi="Cambria" w:cs="Arial"/>
        </w:rPr>
        <w:t xml:space="preserve"> </w:t>
      </w:r>
      <w:r w:rsidRPr="003857A7">
        <w:rPr>
          <w:rFonts w:ascii="Cambria" w:eastAsia="Times New Roman" w:hAnsi="Cambria" w:cs="Arial"/>
        </w:rPr>
        <w:t>Effective Communication; Learning and Knowledge Sharing; Organizational Commitment; Results-Focused, and; Teamwork and Collaboration</w:t>
      </w:r>
      <w:r w:rsidR="000670A2">
        <w:rPr>
          <w:rFonts w:ascii="Cambria" w:eastAsia="Times New Roman" w:hAnsi="Cambria" w:cs="Arial"/>
        </w:rPr>
        <w:t xml:space="preserve">; </w:t>
      </w:r>
      <w:r w:rsidR="00283B50">
        <w:rPr>
          <w:rFonts w:ascii="Cambria" w:eastAsia="Times New Roman" w:hAnsi="Cambria" w:cs="Arial"/>
        </w:rPr>
        <w:t>G</w:t>
      </w:r>
      <w:r w:rsidR="000670A2">
        <w:rPr>
          <w:rFonts w:ascii="Cambria" w:hAnsi="Cambria"/>
        </w:rPr>
        <w:t xml:space="preserve">eneral </w:t>
      </w:r>
      <w:r w:rsidR="00283B50">
        <w:rPr>
          <w:rFonts w:ascii="Cambria" w:hAnsi="Cambria"/>
        </w:rPr>
        <w:t>K</w:t>
      </w:r>
      <w:r w:rsidR="00415654">
        <w:rPr>
          <w:rFonts w:ascii="Cambria" w:hAnsi="Cambria"/>
        </w:rPr>
        <w:t xml:space="preserve">nowledge of </w:t>
      </w:r>
      <w:r w:rsidR="00283B50">
        <w:rPr>
          <w:rFonts w:ascii="Cambria" w:hAnsi="Cambria"/>
        </w:rPr>
        <w:t>T</w:t>
      </w:r>
      <w:r w:rsidR="00A36A1F">
        <w:rPr>
          <w:rFonts w:ascii="Cambria" w:hAnsi="Cambria"/>
        </w:rPr>
        <w:t>elecommunications.</w:t>
      </w:r>
    </w:p>
    <w:p w14:paraId="08010D92" w14:textId="32C2ED8D" w:rsidR="009F5CD7" w:rsidRDefault="00621760" w:rsidP="00ED3D4B">
      <w:pPr>
        <w:pStyle w:val="Default"/>
        <w:spacing w:before="120"/>
        <w:jc w:val="both"/>
        <w:rPr>
          <w:rFonts w:ascii="Cambria" w:hAnsi="Cambria"/>
        </w:rPr>
      </w:pPr>
      <w:r w:rsidRPr="00EB20F6">
        <w:rPr>
          <w:rFonts w:ascii="Cambria" w:hAnsi="Cambria"/>
        </w:rPr>
        <w:t xml:space="preserve">The </w:t>
      </w:r>
      <w:r>
        <w:rPr>
          <w:rFonts w:ascii="Cambria" w:hAnsi="Cambria"/>
        </w:rPr>
        <w:t>candidate</w:t>
      </w:r>
      <w:r w:rsidRPr="00EB20F6">
        <w:rPr>
          <w:rFonts w:ascii="Cambria" w:hAnsi="Cambria"/>
        </w:rPr>
        <w:t xml:space="preserve"> will be integrated in a team, within the Study Group Department of the Telecommunication Standardization Bureau, under the supervision of a TSB SG Counsellor/Advisor. Regular contacts and reporting on a weekly basis </w:t>
      </w:r>
      <w:r>
        <w:rPr>
          <w:rFonts w:ascii="Cambria" w:hAnsi="Cambria"/>
        </w:rPr>
        <w:t>are</w:t>
      </w:r>
      <w:r w:rsidRPr="00EB20F6">
        <w:rPr>
          <w:rFonts w:ascii="Cambria" w:hAnsi="Cambria"/>
        </w:rPr>
        <w:t xml:space="preserve"> expected. The </w:t>
      </w:r>
      <w:r>
        <w:rPr>
          <w:rFonts w:ascii="Cambria" w:hAnsi="Cambria"/>
        </w:rPr>
        <w:t>candidate</w:t>
      </w:r>
      <w:r w:rsidRPr="00EB20F6">
        <w:rPr>
          <w:rFonts w:ascii="Cambria" w:hAnsi="Cambria"/>
        </w:rPr>
        <w:t xml:space="preserve"> will interact with ITU Member States, Sector Members and other stakeholders who participate and contribute to ITU-T Activities.</w:t>
      </w:r>
    </w:p>
    <w:p w14:paraId="0212F384" w14:textId="4EF6EC9F" w:rsidR="00EB1589" w:rsidRPr="007A6C06" w:rsidRDefault="00EB1589" w:rsidP="003857A7">
      <w:pPr>
        <w:pStyle w:val="Default"/>
        <w:numPr>
          <w:ilvl w:val="0"/>
          <w:numId w:val="12"/>
        </w:numPr>
        <w:spacing w:before="120"/>
        <w:ind w:left="284" w:hanging="284"/>
        <w:jc w:val="both"/>
        <w:rPr>
          <w:rFonts w:ascii="Cambria" w:hAnsi="Cambria"/>
          <w:b/>
          <w:bCs/>
        </w:rPr>
      </w:pPr>
      <w:r w:rsidRPr="007A6C06">
        <w:rPr>
          <w:rFonts w:ascii="Cambria" w:hAnsi="Cambria"/>
          <w:b/>
          <w:bCs/>
        </w:rPr>
        <w:t>Qualifications required</w:t>
      </w:r>
    </w:p>
    <w:p w14:paraId="2C14B7B7" w14:textId="366760BB"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Education</w:t>
      </w:r>
      <w:r w:rsidRPr="007A6C06">
        <w:rPr>
          <w:rFonts w:ascii="Cambria" w:hAnsi="Cambria"/>
        </w:rPr>
        <w:t>:</w:t>
      </w:r>
    </w:p>
    <w:p w14:paraId="31D8BA21" w14:textId="2E9356DF" w:rsidR="007A6C06" w:rsidRPr="007A6C06" w:rsidRDefault="00917D58" w:rsidP="009D49D9">
      <w:pPr>
        <w:pStyle w:val="Default"/>
        <w:spacing w:before="120"/>
        <w:jc w:val="both"/>
        <w:rPr>
          <w:rFonts w:ascii="Cambria" w:eastAsia="Times New Roman" w:hAnsi="Cambria" w:cs="Arial"/>
        </w:rPr>
      </w:pPr>
      <w:r w:rsidRPr="007A6C06">
        <w:rPr>
          <w:rFonts w:ascii="Cambria" w:eastAsia="Times New Roman" w:hAnsi="Cambria" w:cs="Arial"/>
        </w:rPr>
        <w:t xml:space="preserve">University degree </w:t>
      </w:r>
      <w:r>
        <w:rPr>
          <w:rFonts w:ascii="Cambria" w:eastAsia="Times New Roman" w:hAnsi="Cambria" w:cs="Arial"/>
        </w:rPr>
        <w:t xml:space="preserve">in </w:t>
      </w:r>
      <w:r w:rsidRPr="004058FB">
        <w:rPr>
          <w:rFonts w:ascii="Cambria" w:eastAsia="Times New Roman" w:hAnsi="Cambria" w:cs="Arial"/>
        </w:rPr>
        <w:t>computer science, information systems, telecommunication, or a related field</w:t>
      </w:r>
      <w:r>
        <w:rPr>
          <w:rFonts w:ascii="Cambria" w:eastAsia="Times New Roman" w:hAnsi="Cambria" w:cs="Arial"/>
        </w:rPr>
        <w:t xml:space="preserve">. </w:t>
      </w:r>
      <w:r w:rsidRPr="00EB20F6">
        <w:rPr>
          <w:rFonts w:ascii="Cambria" w:eastAsia="Times New Roman" w:hAnsi="Cambria" w:cs="Arial"/>
        </w:rPr>
        <w:t>Other university degrees will be considered based on the areas of the research.</w:t>
      </w:r>
    </w:p>
    <w:p w14:paraId="62695BE1"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Work experience</w:t>
      </w:r>
      <w:r w:rsidRPr="007A6C06">
        <w:rPr>
          <w:rFonts w:ascii="Cambria" w:hAnsi="Cambria"/>
        </w:rPr>
        <w:t xml:space="preserve">: </w:t>
      </w:r>
    </w:p>
    <w:p w14:paraId="56D9FB2B" w14:textId="6DBE3B9D" w:rsidR="005F4A50" w:rsidRPr="005F4A50" w:rsidRDefault="005F4A50" w:rsidP="005D44AA">
      <w:pPr>
        <w:pStyle w:val="Default"/>
        <w:spacing w:before="120"/>
        <w:jc w:val="both"/>
        <w:rPr>
          <w:rFonts w:ascii="Cambria" w:eastAsia="SimSun" w:hAnsi="Cambria"/>
          <w:lang w:val="en-GB"/>
        </w:rPr>
      </w:pPr>
      <w:r>
        <w:rPr>
          <w:rFonts w:ascii="Cambria" w:eastAsia="Times New Roman" w:hAnsi="Cambria" w:cs="Arial"/>
        </w:rPr>
        <w:t>No work experience is required.</w:t>
      </w:r>
    </w:p>
    <w:p w14:paraId="4DBE9DD1" w14:textId="77777777" w:rsidR="00277A3B" w:rsidRPr="00277A3B" w:rsidRDefault="00ED3D4B" w:rsidP="00277A3B">
      <w:pPr>
        <w:pStyle w:val="ListParagraph"/>
        <w:numPr>
          <w:ilvl w:val="0"/>
          <w:numId w:val="13"/>
        </w:numPr>
        <w:snapToGrid w:val="0"/>
        <w:spacing w:before="120"/>
        <w:ind w:left="0" w:right="-360" w:firstLine="360"/>
        <w:jc w:val="both"/>
        <w:rPr>
          <w:rFonts w:ascii="Cambria" w:hAnsi="Cambria"/>
          <w:b/>
          <w:bCs/>
          <w:szCs w:val="24"/>
        </w:rPr>
      </w:pPr>
      <w:r w:rsidRPr="00277A3B">
        <w:rPr>
          <w:rFonts w:ascii="Cambria" w:hAnsi="Cambria"/>
          <w:b/>
          <w:sz w:val="24"/>
          <w:szCs w:val="24"/>
        </w:rPr>
        <w:t>Languages:</w:t>
      </w:r>
    </w:p>
    <w:p w14:paraId="44BFE899" w14:textId="69BE9214" w:rsidR="00051788" w:rsidRPr="00051788" w:rsidRDefault="00051788" w:rsidP="00693293">
      <w:pPr>
        <w:snapToGrid w:val="0"/>
        <w:spacing w:before="120"/>
        <w:ind w:right="-360"/>
        <w:jc w:val="both"/>
        <w:rPr>
          <w:rFonts w:ascii="Cambria" w:hAnsi="Cambria"/>
          <w:b/>
          <w:bCs/>
          <w:szCs w:val="24"/>
        </w:rPr>
      </w:pPr>
      <w:r w:rsidRPr="00277A3B">
        <w:rPr>
          <w:rFonts w:ascii="Cambria" w:eastAsia="SimSun" w:hAnsi="Cambria"/>
          <w:sz w:val="24"/>
          <w:szCs w:val="24"/>
          <w:lang w:val="en-GB"/>
        </w:rPr>
        <w:t>Knowledge of one of the six official languages of the Union (Arabic, Chinese, English, French, Russian, Spanish) at advanced level and knowledge of a second official language at intermediate level. Knowledge of a third official language would be an advantage. (Under the provisions of Resolution No. 626 of the Council, a relaxation of the language requirements may be authorized in the case of candidates from developing countries: when candidates from such countries possess a thorough knowledge of one of the official languages of the Union, their applications may be taken into consideration.)</w:t>
      </w:r>
    </w:p>
    <w:p w14:paraId="07CB2099" w14:textId="77777777" w:rsidR="00ED3D4B" w:rsidRPr="005F4A50"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cs="Verdana"/>
          <w:b/>
          <w:bCs/>
          <w:color w:val="000000"/>
          <w:szCs w:val="24"/>
        </w:rPr>
        <w:t>Training and Learning Elements</w:t>
      </w:r>
      <w:r w:rsidRPr="005F4A50">
        <w:rPr>
          <w:rFonts w:ascii="Cambria" w:hAnsi="Cambria"/>
          <w:b/>
          <w:bCs/>
          <w:szCs w:val="24"/>
        </w:rPr>
        <w:t>:</w:t>
      </w:r>
    </w:p>
    <w:p w14:paraId="2CDB1236" w14:textId="513543A7" w:rsidR="00F54B56" w:rsidRDefault="00F54B56" w:rsidP="00F54B56">
      <w:pPr>
        <w:snapToGrid w:val="0"/>
        <w:spacing w:before="120" w:after="0" w:line="240" w:lineRule="auto"/>
        <w:jc w:val="both"/>
        <w:rPr>
          <w:rFonts w:ascii="Cambria" w:hAnsi="Cambria"/>
          <w:sz w:val="24"/>
          <w:szCs w:val="24"/>
        </w:rPr>
      </w:pPr>
      <w:r w:rsidRPr="00564C05">
        <w:rPr>
          <w:rFonts w:ascii="Cambria" w:hAnsi="Cambria"/>
          <w:sz w:val="24"/>
          <w:szCs w:val="24"/>
        </w:rPr>
        <w:t xml:space="preserve">The </w:t>
      </w:r>
      <w:r>
        <w:rPr>
          <w:rFonts w:ascii="Cambria" w:hAnsi="Cambria"/>
          <w:sz w:val="24"/>
          <w:szCs w:val="24"/>
        </w:rPr>
        <w:t xml:space="preserve">candidate </w:t>
      </w:r>
      <w:r w:rsidRPr="00564C05">
        <w:rPr>
          <w:rFonts w:ascii="Cambria" w:hAnsi="Cambria"/>
          <w:sz w:val="24"/>
          <w:szCs w:val="24"/>
        </w:rPr>
        <w:t>will acquire knowledge and experience of:</w:t>
      </w:r>
    </w:p>
    <w:p w14:paraId="6B566B58" w14:textId="77777777" w:rsidR="00F54B56" w:rsidRPr="00793293" w:rsidRDefault="00F54B56" w:rsidP="00F54B56">
      <w:pPr>
        <w:pStyle w:val="ListParagraph"/>
        <w:numPr>
          <w:ilvl w:val="0"/>
          <w:numId w:val="16"/>
        </w:numPr>
        <w:spacing w:after="0" w:line="240" w:lineRule="auto"/>
        <w:ind w:left="810" w:hanging="450"/>
        <w:jc w:val="both"/>
        <w:rPr>
          <w:rFonts w:ascii="Cambria" w:hAnsi="Cambria"/>
          <w:sz w:val="24"/>
          <w:szCs w:val="24"/>
        </w:rPr>
      </w:pPr>
      <w:r w:rsidRPr="00793293">
        <w:rPr>
          <w:rFonts w:ascii="Cambria" w:hAnsi="Cambria"/>
          <w:sz w:val="24"/>
          <w:szCs w:val="24"/>
        </w:rPr>
        <w:t>Signalling and networking standardization activities, including network architectures and related protocols;</w:t>
      </w:r>
    </w:p>
    <w:p w14:paraId="6D6104FA" w14:textId="3234C662" w:rsidR="00F54B56" w:rsidRPr="00793293" w:rsidRDefault="005F50E6" w:rsidP="00F54B56">
      <w:pPr>
        <w:pStyle w:val="ListParagraph"/>
        <w:numPr>
          <w:ilvl w:val="0"/>
          <w:numId w:val="16"/>
        </w:numPr>
        <w:spacing w:after="0" w:line="240" w:lineRule="auto"/>
        <w:ind w:left="810" w:hanging="450"/>
        <w:jc w:val="both"/>
        <w:rPr>
          <w:rFonts w:ascii="Cambria" w:hAnsi="Cambria"/>
          <w:sz w:val="24"/>
          <w:szCs w:val="24"/>
        </w:rPr>
      </w:pPr>
      <w:r>
        <w:rPr>
          <w:rFonts w:ascii="Cambria" w:hAnsi="Cambria"/>
          <w:sz w:val="24"/>
          <w:szCs w:val="24"/>
        </w:rPr>
        <w:lastRenderedPageBreak/>
        <w:t>Signalling security</w:t>
      </w:r>
      <w:r w:rsidR="00F54B56" w:rsidRPr="00793293">
        <w:rPr>
          <w:rFonts w:ascii="Cambria" w:hAnsi="Cambria"/>
          <w:sz w:val="24"/>
          <w:szCs w:val="24"/>
        </w:rPr>
        <w:t xml:space="preserve"> </w:t>
      </w:r>
      <w:r w:rsidR="00F54B56">
        <w:rPr>
          <w:rFonts w:ascii="Cambria" w:hAnsi="Cambria"/>
          <w:sz w:val="24"/>
          <w:szCs w:val="24"/>
        </w:rPr>
        <w:t>issues</w:t>
      </w:r>
      <w:r>
        <w:rPr>
          <w:rFonts w:ascii="Cambria" w:hAnsi="Cambria"/>
          <w:sz w:val="24"/>
          <w:szCs w:val="24"/>
        </w:rPr>
        <w:t>, including the use of digital certificates in signalling exchange</w:t>
      </w:r>
      <w:r w:rsidR="00F54B56" w:rsidRPr="00793293">
        <w:rPr>
          <w:rFonts w:ascii="Cambria" w:hAnsi="Cambria"/>
          <w:sz w:val="24"/>
          <w:szCs w:val="24"/>
        </w:rPr>
        <w:t>;</w:t>
      </w:r>
    </w:p>
    <w:p w14:paraId="3E08EE52" w14:textId="0965C42F" w:rsidR="00F54B56" w:rsidRPr="00793293" w:rsidRDefault="00DA766C" w:rsidP="00F54B56">
      <w:pPr>
        <w:pStyle w:val="ListParagraph"/>
        <w:numPr>
          <w:ilvl w:val="0"/>
          <w:numId w:val="16"/>
        </w:numPr>
        <w:spacing w:after="0" w:line="240" w:lineRule="auto"/>
        <w:ind w:left="810" w:hanging="450"/>
        <w:jc w:val="both"/>
        <w:rPr>
          <w:rFonts w:ascii="Cambria" w:hAnsi="Cambria"/>
          <w:sz w:val="24"/>
          <w:szCs w:val="24"/>
        </w:rPr>
      </w:pPr>
      <w:r>
        <w:rPr>
          <w:rFonts w:ascii="Cambria" w:hAnsi="Cambria"/>
          <w:sz w:val="24"/>
          <w:szCs w:val="24"/>
        </w:rPr>
        <w:t xml:space="preserve">Combating </w:t>
      </w:r>
      <w:r w:rsidR="00CE22AC">
        <w:rPr>
          <w:rFonts w:ascii="Cambria" w:hAnsi="Cambria"/>
          <w:sz w:val="24"/>
          <w:szCs w:val="24"/>
        </w:rPr>
        <w:t xml:space="preserve">number </w:t>
      </w:r>
      <w:r>
        <w:rPr>
          <w:rFonts w:ascii="Cambria" w:hAnsi="Cambria"/>
          <w:sz w:val="24"/>
          <w:szCs w:val="24"/>
        </w:rPr>
        <w:t>spoofing</w:t>
      </w:r>
      <w:r w:rsidR="00F54B56">
        <w:rPr>
          <w:rFonts w:ascii="Cambria" w:hAnsi="Cambria"/>
          <w:sz w:val="24"/>
          <w:szCs w:val="24"/>
        </w:rPr>
        <w:t>.</w:t>
      </w:r>
    </w:p>
    <w:p w14:paraId="014CB5AF" w14:textId="395448E2" w:rsidR="00F54B56" w:rsidRDefault="00F54B56" w:rsidP="00EA0CCD">
      <w:pPr>
        <w:spacing w:after="0" w:line="240" w:lineRule="auto"/>
        <w:jc w:val="both"/>
        <w:rPr>
          <w:rFonts w:ascii="Cambria" w:hAnsi="Cambria"/>
          <w:sz w:val="24"/>
          <w:szCs w:val="24"/>
        </w:rPr>
      </w:pPr>
      <w:r w:rsidRPr="00C259B1">
        <w:rPr>
          <w:rFonts w:ascii="Cambria" w:hAnsi="Cambria"/>
          <w:sz w:val="24"/>
          <w:szCs w:val="24"/>
        </w:rPr>
        <w:t xml:space="preserve">Learning will be structured and will take place through </w:t>
      </w:r>
      <w:r>
        <w:rPr>
          <w:rFonts w:ascii="Cambria" w:hAnsi="Cambria"/>
          <w:sz w:val="24"/>
          <w:szCs w:val="24"/>
        </w:rPr>
        <w:t xml:space="preserve">direct involvement in </w:t>
      </w:r>
      <w:r w:rsidRPr="00C259B1">
        <w:rPr>
          <w:rFonts w:ascii="Cambria" w:hAnsi="Cambria"/>
          <w:sz w:val="24"/>
          <w:szCs w:val="24"/>
        </w:rPr>
        <w:t>participation in ITU meetings and/or workshops</w:t>
      </w:r>
      <w:r>
        <w:rPr>
          <w:rFonts w:ascii="Cambria" w:hAnsi="Cambria"/>
          <w:sz w:val="24"/>
          <w:szCs w:val="24"/>
        </w:rPr>
        <w:t>/webinars</w:t>
      </w:r>
      <w:r w:rsidRPr="00C259B1">
        <w:rPr>
          <w:rFonts w:ascii="Cambria" w:hAnsi="Cambria"/>
          <w:sz w:val="24"/>
          <w:szCs w:val="24"/>
        </w:rPr>
        <w:t>, by studying ITU reports, surveys, studies or activities related processes, by mentoring</w:t>
      </w:r>
      <w:r>
        <w:rPr>
          <w:rFonts w:ascii="Cambria" w:hAnsi="Cambria"/>
          <w:sz w:val="24"/>
          <w:szCs w:val="24"/>
        </w:rPr>
        <w:t xml:space="preserve"> and </w:t>
      </w:r>
      <w:r w:rsidRPr="00C259B1">
        <w:rPr>
          <w:rFonts w:ascii="Cambria" w:hAnsi="Cambria"/>
          <w:sz w:val="24"/>
          <w:szCs w:val="24"/>
        </w:rPr>
        <w:t>on-the-job training</w:t>
      </w:r>
      <w:r>
        <w:rPr>
          <w:rFonts w:ascii="Cambria" w:hAnsi="Cambria"/>
          <w:sz w:val="24"/>
          <w:szCs w:val="24"/>
        </w:rPr>
        <w:t>.</w:t>
      </w:r>
    </w:p>
    <w:p w14:paraId="5C97157B" w14:textId="77777777" w:rsidR="00EA0CCD" w:rsidRPr="00564C05" w:rsidRDefault="00EA0CCD" w:rsidP="00EA0CCD">
      <w:pPr>
        <w:spacing w:after="0" w:line="240" w:lineRule="auto"/>
        <w:jc w:val="both"/>
        <w:rPr>
          <w:rFonts w:ascii="Cambria" w:hAnsi="Cambria" w:cstheme="minorHAnsi"/>
          <w:sz w:val="24"/>
          <w:szCs w:val="24"/>
        </w:rPr>
      </w:pPr>
    </w:p>
    <w:p w14:paraId="5413028A" w14:textId="77777777" w:rsidR="00EC1F4F" w:rsidRPr="001B6438" w:rsidRDefault="001B6438" w:rsidP="00022A94">
      <w:pPr>
        <w:pStyle w:val="ListParagraph"/>
        <w:numPr>
          <w:ilvl w:val="0"/>
          <w:numId w:val="12"/>
        </w:numPr>
        <w:ind w:left="284" w:hanging="284"/>
        <w:jc w:val="both"/>
        <w:rPr>
          <w:rFonts w:ascii="Cambria" w:hAnsi="Cambria" w:cs="Verdana"/>
          <w:bCs/>
          <w:i/>
          <w:color w:val="000000"/>
          <w:sz w:val="20"/>
          <w:szCs w:val="20"/>
        </w:rPr>
      </w:pPr>
      <w:r w:rsidRPr="001B6438">
        <w:rPr>
          <w:rFonts w:ascii="Cambria" w:hAnsi="Cambria" w:cs="Verdana"/>
          <w:b/>
          <w:bCs/>
          <w:color w:val="000000"/>
          <w:sz w:val="24"/>
          <w:szCs w:val="24"/>
        </w:rPr>
        <w:t xml:space="preserve">Additional information </w:t>
      </w:r>
      <w:r>
        <w:rPr>
          <w:rFonts w:ascii="Cambria" w:hAnsi="Cambria" w:cs="Verdana"/>
          <w:bCs/>
          <w:i/>
          <w:color w:val="000000"/>
          <w:sz w:val="20"/>
          <w:szCs w:val="20"/>
        </w:rPr>
        <w:t>(A</w:t>
      </w:r>
      <w:r w:rsidRPr="001B6438">
        <w:rPr>
          <w:rFonts w:ascii="Cambria" w:hAnsi="Cambria" w:cs="Verdana"/>
          <w:bCs/>
          <w:i/>
          <w:color w:val="000000"/>
          <w:sz w:val="20"/>
          <w:szCs w:val="20"/>
        </w:rPr>
        <w:t>dditional space for comments that have not been mentioned in the above sections, if any.</w:t>
      </w:r>
      <w:r>
        <w:rPr>
          <w:rFonts w:ascii="Cambria" w:hAnsi="Cambria" w:cs="Verdana"/>
          <w:bCs/>
          <w:i/>
          <w:color w:val="000000"/>
          <w:sz w:val="20"/>
          <w:szCs w:val="20"/>
        </w:rPr>
        <w:t>)</w:t>
      </w:r>
    </w:p>
    <w:p w14:paraId="72E0FFBE" w14:textId="2A62D2DF" w:rsidR="00D775A5" w:rsidRDefault="00D775A5" w:rsidP="00D775A5">
      <w:pPr>
        <w:jc w:val="both"/>
        <w:rPr>
          <w:rFonts w:ascii="Cambria" w:hAnsi="Cambria" w:cstheme="minorHAnsi"/>
          <w:sz w:val="24"/>
          <w:szCs w:val="24"/>
        </w:rPr>
      </w:pPr>
      <w:r>
        <w:rPr>
          <w:rFonts w:ascii="Cambria" w:hAnsi="Cambria" w:cstheme="minorHAnsi"/>
          <w:sz w:val="24"/>
          <w:szCs w:val="24"/>
        </w:rPr>
        <w:t>The helpful links below provide more details:</w:t>
      </w:r>
    </w:p>
    <w:p w14:paraId="3CC01329" w14:textId="3B93C80A" w:rsidR="00D775A5" w:rsidRPr="005D4260" w:rsidRDefault="005B303C" w:rsidP="00D775A5">
      <w:pPr>
        <w:pStyle w:val="ListParagraph"/>
        <w:numPr>
          <w:ilvl w:val="0"/>
          <w:numId w:val="17"/>
        </w:numPr>
        <w:jc w:val="both"/>
        <w:rPr>
          <w:rFonts w:ascii="Cambria" w:hAnsi="Cambria" w:cs="Verdana"/>
          <w:bCs/>
          <w:i/>
          <w:color w:val="000000"/>
          <w:sz w:val="20"/>
          <w:szCs w:val="20"/>
        </w:rPr>
      </w:pPr>
      <w:r>
        <w:rPr>
          <w:rFonts w:ascii="Cambria" w:hAnsi="Cambria"/>
          <w:sz w:val="24"/>
          <w:szCs w:val="24"/>
        </w:rPr>
        <w:t>ITU activities and outcomes on s</w:t>
      </w:r>
      <w:r w:rsidR="00011E32">
        <w:rPr>
          <w:rFonts w:ascii="Cambria" w:hAnsi="Cambria"/>
          <w:sz w:val="24"/>
          <w:szCs w:val="24"/>
        </w:rPr>
        <w:t xml:space="preserve">ignalling security </w:t>
      </w:r>
      <w:hyperlink r:id="rId9" w:history="1">
        <w:r w:rsidR="00011E32" w:rsidRPr="008030AD">
          <w:rPr>
            <w:rStyle w:val="Hyperlink"/>
            <w:rFonts w:ascii="Cambria" w:hAnsi="Cambria"/>
            <w:sz w:val="24"/>
            <w:szCs w:val="24"/>
          </w:rPr>
          <w:t>https://itu.int/go/SIG-SECURITY</w:t>
        </w:r>
      </w:hyperlink>
    </w:p>
    <w:p w14:paraId="6F853B62" w14:textId="1126F5CC" w:rsidR="00D775A5" w:rsidRPr="003D352B" w:rsidRDefault="00011E32" w:rsidP="00D775A5">
      <w:pPr>
        <w:pStyle w:val="ListParagraph"/>
        <w:numPr>
          <w:ilvl w:val="0"/>
          <w:numId w:val="17"/>
        </w:numPr>
        <w:jc w:val="both"/>
        <w:rPr>
          <w:rFonts w:ascii="Cambria" w:hAnsi="Cambria"/>
          <w:sz w:val="24"/>
          <w:szCs w:val="24"/>
        </w:rPr>
      </w:pPr>
      <w:r w:rsidRPr="003D352B">
        <w:rPr>
          <w:rFonts w:ascii="Cambria" w:hAnsi="Cambria"/>
          <w:sz w:val="24"/>
          <w:szCs w:val="24"/>
        </w:rPr>
        <w:t xml:space="preserve">ITU-T SG11 </w:t>
      </w:r>
      <w:r w:rsidR="003D352B" w:rsidRPr="003D352B">
        <w:rPr>
          <w:rFonts w:ascii="Cambria" w:hAnsi="Cambria"/>
          <w:sz w:val="24"/>
          <w:szCs w:val="24"/>
        </w:rPr>
        <w:t>Signalling requirements, protocols, test specifications and combating counterfeit telecommunication/ICT devices</w:t>
      </w:r>
      <w:r w:rsidR="003D352B">
        <w:rPr>
          <w:rFonts w:ascii="Cambria" w:hAnsi="Cambria"/>
          <w:sz w:val="24"/>
          <w:szCs w:val="24"/>
        </w:rPr>
        <w:t xml:space="preserve">, </w:t>
      </w:r>
      <w:hyperlink r:id="rId10" w:history="1">
        <w:r w:rsidR="003D352B" w:rsidRPr="008030AD">
          <w:rPr>
            <w:rStyle w:val="Hyperlink"/>
            <w:rFonts w:ascii="Cambria" w:hAnsi="Cambria"/>
            <w:sz w:val="24"/>
            <w:szCs w:val="24"/>
          </w:rPr>
          <w:t>https://itu.int/go/tsg11</w:t>
        </w:r>
      </w:hyperlink>
      <w:r w:rsidR="003D352B">
        <w:rPr>
          <w:rFonts w:ascii="Cambria" w:hAnsi="Cambria"/>
          <w:sz w:val="24"/>
          <w:szCs w:val="24"/>
        </w:rPr>
        <w:t>.</w:t>
      </w:r>
    </w:p>
    <w:p w14:paraId="78554CAF" w14:textId="15B243D5" w:rsidR="001B6438" w:rsidRPr="00D775A5" w:rsidRDefault="001B6438" w:rsidP="001B6438">
      <w:pPr>
        <w:jc w:val="both"/>
        <w:rPr>
          <w:rFonts w:ascii="Cambria" w:hAnsi="Cambria" w:cs="Verdana"/>
          <w:bCs/>
          <w:iCs/>
          <w:color w:val="000000"/>
          <w:sz w:val="20"/>
          <w:szCs w:val="20"/>
        </w:rPr>
      </w:pPr>
    </w:p>
    <w:sectPr w:rsidR="001B6438" w:rsidRPr="00D775A5" w:rsidSect="006D3BBD">
      <w:headerReference w:type="default" r:id="rId11"/>
      <w:footerReference w:type="default" r:id="rId12"/>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AB8AE" w14:textId="77777777" w:rsidR="006D3BBD" w:rsidRDefault="006D3BBD" w:rsidP="00EB1589">
      <w:pPr>
        <w:spacing w:after="0" w:line="240" w:lineRule="auto"/>
      </w:pPr>
      <w:r>
        <w:separator/>
      </w:r>
    </w:p>
  </w:endnote>
  <w:endnote w:type="continuationSeparator" w:id="0">
    <w:p w14:paraId="7912E991" w14:textId="77777777" w:rsidR="006D3BBD" w:rsidRDefault="006D3BBD"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International Telecommunication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Switzerland </w:t>
    </w:r>
    <w:r w:rsidRPr="00FB65BC">
      <w:rPr>
        <w:color w:val="3E8EDE"/>
        <w:sz w:val="18"/>
        <w:szCs w:val="18"/>
        <w:lang w:val="fr-CH"/>
      </w:rPr>
      <w:br/>
      <w:t xml:space="preserve">Tel: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1E27C" w14:textId="77777777" w:rsidR="006D3BBD" w:rsidRDefault="006D3BBD" w:rsidP="00EB1589">
      <w:pPr>
        <w:spacing w:after="0" w:line="240" w:lineRule="auto"/>
      </w:pPr>
      <w:r>
        <w:separator/>
      </w:r>
    </w:p>
  </w:footnote>
  <w:footnote w:type="continuationSeparator" w:id="0">
    <w:p w14:paraId="32518172" w14:textId="77777777" w:rsidR="006D3BBD" w:rsidRDefault="006D3BBD"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C6064F"/>
    <w:multiLevelType w:val="hybridMultilevel"/>
    <w:tmpl w:val="426C8C88"/>
    <w:lvl w:ilvl="0" w:tplc="5C76B354">
      <w:numFmt w:val="bullet"/>
      <w:lvlText w:val="-"/>
      <w:lvlJc w:val="left"/>
      <w:pPr>
        <w:ind w:left="720" w:hanging="360"/>
      </w:pPr>
      <w:rPr>
        <w:rFonts w:ascii="Cambria" w:eastAsiaTheme="minorEastAsia" w:hAnsi="Cambria" w:cstheme="minorHAnsi" w:hint="default"/>
        <w:i w:val="0"/>
        <w:color w:val="auto"/>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6"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83C4D35"/>
    <w:multiLevelType w:val="hybridMultilevel"/>
    <w:tmpl w:val="143EDFD6"/>
    <w:lvl w:ilvl="0" w:tplc="97949A8A">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B982B5A"/>
    <w:multiLevelType w:val="hybridMultilevel"/>
    <w:tmpl w:val="450C42DC"/>
    <w:lvl w:ilvl="0" w:tplc="C812ED52">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2"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410277579">
    <w:abstractNumId w:val="6"/>
  </w:num>
  <w:num w:numId="2" w16cid:durableId="2080520469">
    <w:abstractNumId w:val="13"/>
  </w:num>
  <w:num w:numId="3" w16cid:durableId="1010371184">
    <w:abstractNumId w:val="14"/>
  </w:num>
  <w:num w:numId="4" w16cid:durableId="838807718">
    <w:abstractNumId w:val="2"/>
  </w:num>
  <w:num w:numId="5" w16cid:durableId="481047802">
    <w:abstractNumId w:val="7"/>
  </w:num>
  <w:num w:numId="6" w16cid:durableId="1964269443">
    <w:abstractNumId w:val="0"/>
  </w:num>
  <w:num w:numId="7" w16cid:durableId="468403368">
    <w:abstractNumId w:val="15"/>
  </w:num>
  <w:num w:numId="8" w16cid:durableId="1591889622">
    <w:abstractNumId w:val="10"/>
  </w:num>
  <w:num w:numId="9" w16cid:durableId="500896963">
    <w:abstractNumId w:val="8"/>
  </w:num>
  <w:num w:numId="10" w16cid:durableId="368845409">
    <w:abstractNumId w:val="12"/>
  </w:num>
  <w:num w:numId="11" w16cid:durableId="1741832073">
    <w:abstractNumId w:val="5"/>
  </w:num>
  <w:num w:numId="12" w16cid:durableId="1162231846">
    <w:abstractNumId w:val="3"/>
  </w:num>
  <w:num w:numId="13" w16cid:durableId="148181075">
    <w:abstractNumId w:val="1"/>
  </w:num>
  <w:num w:numId="14" w16cid:durableId="1269385012">
    <w:abstractNumId w:val="16"/>
  </w:num>
  <w:num w:numId="15" w16cid:durableId="1433090802">
    <w:abstractNumId w:val="11"/>
  </w:num>
  <w:num w:numId="16" w16cid:durableId="620578533">
    <w:abstractNumId w:val="9"/>
  </w:num>
  <w:num w:numId="17" w16cid:durableId="122194458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048E9"/>
    <w:rsid w:val="00011E32"/>
    <w:rsid w:val="0003320D"/>
    <w:rsid w:val="00050547"/>
    <w:rsid w:val="00051788"/>
    <w:rsid w:val="000670A2"/>
    <w:rsid w:val="000A46A2"/>
    <w:rsid w:val="000D548B"/>
    <w:rsid w:val="000E5569"/>
    <w:rsid w:val="000F4344"/>
    <w:rsid w:val="00104A51"/>
    <w:rsid w:val="001B3C8E"/>
    <w:rsid w:val="001B6438"/>
    <w:rsid w:val="001F1A31"/>
    <w:rsid w:val="002768D0"/>
    <w:rsid w:val="00277A3B"/>
    <w:rsid w:val="00283B50"/>
    <w:rsid w:val="002B4314"/>
    <w:rsid w:val="003032EC"/>
    <w:rsid w:val="00322179"/>
    <w:rsid w:val="00373FB4"/>
    <w:rsid w:val="003852AC"/>
    <w:rsid w:val="003857A7"/>
    <w:rsid w:val="003D352B"/>
    <w:rsid w:val="004141F9"/>
    <w:rsid w:val="00415654"/>
    <w:rsid w:val="0043778E"/>
    <w:rsid w:val="004521F6"/>
    <w:rsid w:val="00462308"/>
    <w:rsid w:val="00472BB3"/>
    <w:rsid w:val="004C2AC8"/>
    <w:rsid w:val="004C305B"/>
    <w:rsid w:val="00527FA9"/>
    <w:rsid w:val="005B303C"/>
    <w:rsid w:val="005B6FBD"/>
    <w:rsid w:val="005D44AA"/>
    <w:rsid w:val="005F4A50"/>
    <w:rsid w:val="005F50E6"/>
    <w:rsid w:val="0060012A"/>
    <w:rsid w:val="00621760"/>
    <w:rsid w:val="00630769"/>
    <w:rsid w:val="00653370"/>
    <w:rsid w:val="00693293"/>
    <w:rsid w:val="006C3D64"/>
    <w:rsid w:val="006D3BBD"/>
    <w:rsid w:val="006F23D4"/>
    <w:rsid w:val="0070771E"/>
    <w:rsid w:val="007754B6"/>
    <w:rsid w:val="007A6C06"/>
    <w:rsid w:val="007C0D6E"/>
    <w:rsid w:val="007D08F1"/>
    <w:rsid w:val="007E3759"/>
    <w:rsid w:val="008566FD"/>
    <w:rsid w:val="00890246"/>
    <w:rsid w:val="008B6D63"/>
    <w:rsid w:val="00917D58"/>
    <w:rsid w:val="00930FC0"/>
    <w:rsid w:val="009670A3"/>
    <w:rsid w:val="009727D9"/>
    <w:rsid w:val="009C2927"/>
    <w:rsid w:val="009C57CB"/>
    <w:rsid w:val="009D49D9"/>
    <w:rsid w:val="009D53F7"/>
    <w:rsid w:val="009D5B4A"/>
    <w:rsid w:val="009F4B23"/>
    <w:rsid w:val="009F4FF3"/>
    <w:rsid w:val="009F5CD7"/>
    <w:rsid w:val="00A05E02"/>
    <w:rsid w:val="00A134E7"/>
    <w:rsid w:val="00A336E6"/>
    <w:rsid w:val="00A36A1F"/>
    <w:rsid w:val="00A41874"/>
    <w:rsid w:val="00A94979"/>
    <w:rsid w:val="00AE0E69"/>
    <w:rsid w:val="00B41D04"/>
    <w:rsid w:val="00B421B1"/>
    <w:rsid w:val="00B57839"/>
    <w:rsid w:val="00B71841"/>
    <w:rsid w:val="00B848E5"/>
    <w:rsid w:val="00BE45A3"/>
    <w:rsid w:val="00BF21F2"/>
    <w:rsid w:val="00C41213"/>
    <w:rsid w:val="00C5422D"/>
    <w:rsid w:val="00C90A4E"/>
    <w:rsid w:val="00CD4E39"/>
    <w:rsid w:val="00CE148C"/>
    <w:rsid w:val="00CE22AC"/>
    <w:rsid w:val="00D07B8A"/>
    <w:rsid w:val="00D10250"/>
    <w:rsid w:val="00D12BB9"/>
    <w:rsid w:val="00D36A7F"/>
    <w:rsid w:val="00D413E4"/>
    <w:rsid w:val="00D775A5"/>
    <w:rsid w:val="00DA766C"/>
    <w:rsid w:val="00DC2D90"/>
    <w:rsid w:val="00DD67AB"/>
    <w:rsid w:val="00E018D6"/>
    <w:rsid w:val="00E167D1"/>
    <w:rsid w:val="00E1748E"/>
    <w:rsid w:val="00E222E8"/>
    <w:rsid w:val="00E50FAB"/>
    <w:rsid w:val="00E95ED6"/>
    <w:rsid w:val="00EA0CCD"/>
    <w:rsid w:val="00EA3ADA"/>
    <w:rsid w:val="00EB1589"/>
    <w:rsid w:val="00EC1F4F"/>
    <w:rsid w:val="00ED0232"/>
    <w:rsid w:val="00ED3D4B"/>
    <w:rsid w:val="00F347AA"/>
    <w:rsid w:val="00F45A26"/>
    <w:rsid w:val="00F54B56"/>
    <w:rsid w:val="00F73449"/>
    <w:rsid w:val="00FA660A"/>
    <w:rsid w:val="00FB7AF3"/>
    <w:rsid w:val="00FF12B1"/>
    <w:rsid w:val="00FF69A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D352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 w:type="character" w:styleId="Hyperlink">
    <w:name w:val="Hyperlink"/>
    <w:basedOn w:val="DefaultParagraphFont"/>
    <w:uiPriority w:val="99"/>
    <w:unhideWhenUsed/>
    <w:rsid w:val="00AE0E69"/>
    <w:rPr>
      <w:color w:val="0563C1" w:themeColor="hyperlink"/>
      <w:u w:val="single"/>
    </w:rPr>
  </w:style>
  <w:style w:type="character" w:styleId="UnresolvedMention">
    <w:name w:val="Unresolved Mention"/>
    <w:basedOn w:val="DefaultParagraphFont"/>
    <w:uiPriority w:val="99"/>
    <w:semiHidden/>
    <w:unhideWhenUsed/>
    <w:rsid w:val="00AE0E69"/>
    <w:rPr>
      <w:color w:val="605E5C"/>
      <w:shd w:val="clear" w:color="auto" w:fill="E1DFDD"/>
    </w:rPr>
  </w:style>
  <w:style w:type="character" w:customStyle="1" w:styleId="Heading1Char">
    <w:name w:val="Heading 1 Char"/>
    <w:basedOn w:val="DefaultParagraphFont"/>
    <w:link w:val="Heading1"/>
    <w:uiPriority w:val="9"/>
    <w:rsid w:val="003D352B"/>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147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u.int/go/SIG-SECURIT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itu.int/go/tsg11" TargetMode="External"/><Relationship Id="rId4" Type="http://schemas.openxmlformats.org/officeDocument/2006/relationships/settings" Target="settings.xml"/><Relationship Id="rId9" Type="http://schemas.openxmlformats.org/officeDocument/2006/relationships/hyperlink" Target="https://itu.int/go/SIG-SECURITY"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1325</Words>
  <Characters>7557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8865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4</cp:revision>
  <cp:lastPrinted>2017-08-23T11:38:00Z</cp:lastPrinted>
  <dcterms:created xsi:type="dcterms:W3CDTF">2024-02-23T16:03:00Z</dcterms:created>
  <dcterms:modified xsi:type="dcterms:W3CDTF">2024-02-23T16:04:00Z</dcterms:modified>
</cp:coreProperties>
</file>