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17F575B4"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00C836D0" w:rsidRPr="00C836D0">
        <w:rPr>
          <w:rFonts w:asciiTheme="minorHAnsi" w:hAnsiTheme="minorHAnsi" w:cs="Arial"/>
          <w:b/>
          <w:bCs/>
          <w:lang w:val="en-GB"/>
        </w:rPr>
        <w:t xml:space="preserve">Internal </w:t>
      </w:r>
      <w:r w:rsidR="00C836D0">
        <w:rPr>
          <w:rFonts w:asciiTheme="minorHAnsi" w:hAnsiTheme="minorHAnsi" w:cs="Arial"/>
          <w:b/>
          <w:bCs/>
          <w:lang w:val="en-GB"/>
        </w:rPr>
        <w:t>C</w:t>
      </w:r>
      <w:r w:rsidR="00C836D0" w:rsidRPr="00C836D0">
        <w:rPr>
          <w:rFonts w:asciiTheme="minorHAnsi" w:hAnsiTheme="minorHAnsi" w:cs="Arial"/>
          <w:b/>
          <w:bCs/>
          <w:lang w:val="en-GB"/>
        </w:rPr>
        <w:t xml:space="preserve">ommunications </w:t>
      </w:r>
      <w:r w:rsidR="00EE75B9">
        <w:rPr>
          <w:rFonts w:asciiTheme="minorHAnsi" w:hAnsiTheme="minorHAnsi" w:cs="Arial"/>
          <w:b/>
          <w:bCs/>
          <w:lang w:val="en-GB"/>
        </w:rPr>
        <w:t>Fellow</w:t>
      </w:r>
      <w:r w:rsidR="00C836D0" w:rsidRPr="00C836D0">
        <w:rPr>
          <w:rFonts w:asciiTheme="minorHAnsi" w:hAnsiTheme="minorHAnsi" w:cs="Arial"/>
          <w:b/>
          <w:bCs/>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076E4666" w:rsidR="003F47AD" w:rsidRPr="005539A9" w:rsidRDefault="003F47AD" w:rsidP="00A601F8">
      <w:pPr>
        <w:rPr>
          <w:rFonts w:asciiTheme="minorHAnsi" w:hAnsiTheme="minorHAnsi" w:cs="Arial"/>
        </w:rPr>
      </w:pPr>
      <w:r>
        <w:rPr>
          <w:rFonts w:asciiTheme="minorHAnsi" w:hAnsiTheme="minorHAnsi" w:cs="Arial"/>
          <w:lang w:val="en-GB"/>
        </w:rPr>
        <w:t>Sector of assignment:</w:t>
      </w:r>
      <w:r w:rsidR="004025C1">
        <w:rPr>
          <w:rFonts w:asciiTheme="minorHAnsi" w:hAnsiTheme="minorHAnsi" w:cs="Arial"/>
          <w:lang w:val="en-GB"/>
        </w:rPr>
        <w:t xml:space="preserve"> </w:t>
      </w:r>
      <w:r w:rsidR="00C836D0" w:rsidRPr="00C836D0">
        <w:rPr>
          <w:rFonts w:asciiTheme="minorHAnsi" w:hAnsiTheme="minorHAnsi" w:cs="Arial"/>
          <w:b/>
          <w:bCs/>
          <w:lang w:val="en-GB"/>
        </w:rPr>
        <w:t>Communications</w:t>
      </w:r>
    </w:p>
    <w:p w14:paraId="67D59395" w14:textId="2C8F5F98" w:rsidR="00A601F8" w:rsidRPr="00C836D0" w:rsidRDefault="00A601F8" w:rsidP="00A601F8">
      <w:pPr>
        <w:rPr>
          <w:rFonts w:asciiTheme="minorHAnsi" w:hAnsiTheme="minorHAnsi" w:cs="Arial"/>
          <w:b/>
          <w:bCs/>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C836D0" w:rsidRPr="00C836D0">
        <w:rPr>
          <w:rFonts w:asciiTheme="minorHAnsi" w:hAnsiTheme="minorHAnsi" w:cs="Arial"/>
          <w:b/>
          <w:bCs/>
          <w:lang w:val="en-GB"/>
        </w:rPr>
        <w:t>Bureau for External Relations and Advocacy</w:t>
      </w:r>
      <w:r w:rsidR="00EE75B9">
        <w:rPr>
          <w:rFonts w:asciiTheme="minorHAnsi" w:hAnsiTheme="minorHAnsi" w:cs="Arial"/>
          <w:b/>
          <w:bCs/>
          <w:lang w:val="en-GB"/>
        </w:rPr>
        <w:t xml:space="preserve"> (BERA)</w:t>
      </w:r>
      <w:r w:rsidR="00C836D0" w:rsidRPr="00C836D0">
        <w:rPr>
          <w:rFonts w:asciiTheme="minorHAnsi" w:hAnsiTheme="minorHAnsi" w:cs="Arial"/>
          <w:b/>
          <w:bCs/>
          <w:lang w:val="en-GB"/>
        </w:rPr>
        <w:t>, Advocacy, Marketing &amp; Communications Group</w:t>
      </w:r>
      <w:r w:rsidR="00EE75B9">
        <w:rPr>
          <w:rFonts w:asciiTheme="minorHAnsi" w:hAnsiTheme="minorHAnsi" w:cs="Arial"/>
          <w:b/>
          <w:bCs/>
          <w:lang w:val="en-GB"/>
        </w:rPr>
        <w:t xml:space="preserve"> (AMCG)</w:t>
      </w:r>
    </w:p>
    <w:p w14:paraId="6D413E5E" w14:textId="135307F6"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C836D0" w:rsidRPr="00C836D0">
        <w:rPr>
          <w:rFonts w:asciiTheme="minorHAnsi" w:hAnsiTheme="minorHAnsi" w:cs="Arial"/>
          <w:b/>
          <w:bCs/>
        </w:rPr>
        <w:t>New York, USA</w:t>
      </w:r>
    </w:p>
    <w:p w14:paraId="078B9725" w14:textId="54A22AF8"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87263E">
        <w:rPr>
          <w:rFonts w:asciiTheme="minorHAnsi" w:hAnsiTheme="minorHAnsi" w:cs="Arial" w:hint="eastAsia"/>
          <w:b/>
          <w:bCs/>
          <w:lang w:val="en-GB" w:eastAsia="zh-CN"/>
        </w:rPr>
        <w:t>9</w:t>
      </w:r>
      <w:r w:rsidR="005539A9" w:rsidRPr="00C836D0">
        <w:rPr>
          <w:rFonts w:asciiTheme="minorHAnsi" w:hAnsiTheme="minorHAnsi" w:cs="Arial"/>
          <w:b/>
          <w:bCs/>
          <w:lang w:val="en-GB"/>
        </w:rPr>
        <w:t xml:space="preserve"> </w:t>
      </w:r>
      <w:r w:rsidR="00313014" w:rsidRPr="00C836D0">
        <w:rPr>
          <w:rFonts w:asciiTheme="minorHAnsi" w:hAnsiTheme="minorHAnsi" w:cs="Arial"/>
          <w:b/>
          <w:bCs/>
          <w:lang w:val="en-GB"/>
        </w:rPr>
        <w:t>months</w:t>
      </w:r>
    </w:p>
    <w:p w14:paraId="15C313DA" w14:textId="5A733029"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4025C1">
        <w:rPr>
          <w:rFonts w:asciiTheme="minorHAnsi" w:hAnsiTheme="minorHAnsi" w:cs="Arial"/>
          <w:lang w:val="en-GB"/>
        </w:rPr>
        <w:t xml:space="preserve"> </w:t>
      </w:r>
    </w:p>
    <w:p w14:paraId="4A699A6C" w14:textId="00A343CB"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4025C1">
        <w:rPr>
          <w:rFonts w:asciiTheme="minorHAnsi" w:hAnsiTheme="minorHAnsi" w:cs="Arial"/>
          <w:lang w:val="en-GB"/>
        </w:rPr>
        <w:t xml:space="preserve"> </w:t>
      </w:r>
      <w:r w:rsidR="00C836D0" w:rsidRPr="00C836D0">
        <w:rPr>
          <w:rFonts w:asciiTheme="minorHAnsi" w:hAnsiTheme="minorHAnsi" w:cs="Arial"/>
          <w:b/>
          <w:bCs/>
          <w:lang w:val="en-GB"/>
        </w:rPr>
        <w:t>William Mohns</w:t>
      </w:r>
      <w:r w:rsidRPr="00A13D39">
        <w:rPr>
          <w:rFonts w:asciiTheme="minorHAnsi" w:hAnsiTheme="minorHAnsi" w:cs="Arial"/>
          <w:lang w:val="en-GB"/>
        </w:rPr>
        <w:tab/>
      </w:r>
    </w:p>
    <w:p w14:paraId="241A8726" w14:textId="03BBF2DC" w:rsidR="00617B12" w:rsidRDefault="00B12B04" w:rsidP="00B708DB">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4025C1">
        <w:rPr>
          <w:rFonts w:asciiTheme="minorHAnsi" w:hAnsiTheme="minorHAnsi" w:cs="Arial"/>
          <w:lang w:val="en-GB"/>
        </w:rPr>
        <w:t xml:space="preserve"> </w:t>
      </w:r>
      <w:r w:rsidR="00C836D0" w:rsidRPr="00C836D0">
        <w:rPr>
          <w:rFonts w:asciiTheme="minorHAnsi" w:hAnsiTheme="minorHAnsi" w:cs="Arial"/>
          <w:b/>
          <w:bCs/>
          <w:lang w:val="en-GB"/>
        </w:rPr>
        <w:t>Internal Communications Specialist</w:t>
      </w:r>
      <w:r w:rsidR="00EE75B9">
        <w:rPr>
          <w:rFonts w:asciiTheme="minorHAnsi" w:hAnsiTheme="minorHAnsi" w:cs="Arial"/>
          <w:b/>
          <w:bCs/>
          <w:lang w:val="en-GB"/>
        </w:rPr>
        <w:t>, BERA</w:t>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684E7A15" w14:textId="77777777" w:rsidR="00C836D0" w:rsidRPr="00C836D0" w:rsidRDefault="00C836D0" w:rsidP="00C836D0">
      <w:pPr>
        <w:pStyle w:val="NoSpacing"/>
        <w:rPr>
          <w:rFonts w:asciiTheme="minorHAnsi" w:eastAsia="SimSun" w:hAnsiTheme="minorHAnsi"/>
          <w:color w:val="auto"/>
        </w:rPr>
      </w:pPr>
      <w:r w:rsidRPr="00C836D0">
        <w:rPr>
          <w:rFonts w:asciiTheme="minorHAnsi" w:eastAsia="SimSun" w:hAnsiTheme="minorHAnsi"/>
          <w:color w:val="auto"/>
        </w:rPr>
        <w:t xml:space="preserve">The Bureau of External Relations and Advocacy (BERA) is responsible for positioning UNDP as the world’s leading global development network, promoting its global authority and thought leadership on sustainable development and the interconnected issues of poverty, inequality, and climate change. BERA leads and supports UNDP in building and nurturing strategic relationships and alliances essential to achieving its mission. </w:t>
      </w:r>
    </w:p>
    <w:p w14:paraId="5D8941DA" w14:textId="77777777" w:rsidR="00C836D0" w:rsidRPr="00C836D0" w:rsidRDefault="00C836D0" w:rsidP="00C836D0">
      <w:pPr>
        <w:pStyle w:val="NoSpacing"/>
        <w:rPr>
          <w:rFonts w:asciiTheme="minorHAnsi" w:eastAsia="SimSun" w:hAnsiTheme="minorHAnsi"/>
          <w:color w:val="auto"/>
        </w:rPr>
      </w:pPr>
    </w:p>
    <w:p w14:paraId="75B027F3" w14:textId="3AEA50DE" w:rsidR="00C836D0" w:rsidRPr="00C836D0" w:rsidRDefault="00C836D0" w:rsidP="00C836D0">
      <w:pPr>
        <w:pStyle w:val="NoSpacing"/>
        <w:rPr>
          <w:rFonts w:asciiTheme="minorHAnsi" w:eastAsia="SimSun" w:hAnsiTheme="minorHAnsi"/>
          <w:color w:val="auto"/>
        </w:rPr>
      </w:pPr>
      <w:r w:rsidRPr="00C836D0">
        <w:rPr>
          <w:rFonts w:asciiTheme="minorHAnsi" w:eastAsia="SimSun" w:hAnsiTheme="minorHAnsi"/>
          <w:color w:val="auto"/>
        </w:rPr>
        <w:t xml:space="preserve">The Advocacy, Marketing and Communications Group (AMCG) </w:t>
      </w:r>
      <w:r w:rsidR="00EE75B9">
        <w:rPr>
          <w:rFonts w:asciiTheme="minorHAnsi" w:eastAsia="SimSun" w:hAnsiTheme="minorHAnsi"/>
          <w:color w:val="auto"/>
        </w:rPr>
        <w:t xml:space="preserve">within BERA </w:t>
      </w:r>
      <w:r w:rsidRPr="00C836D0">
        <w:rPr>
          <w:rFonts w:asciiTheme="minorHAnsi" w:eastAsia="SimSun" w:hAnsiTheme="minorHAnsi"/>
          <w:color w:val="auto"/>
        </w:rPr>
        <w:t>leads on strategic communications for UNDP, covering digital communications, brand and marketing, campaigns and advocacy, media strategy and outreach, internal communications and innovative and digital partnerships. The group works to:</w:t>
      </w:r>
    </w:p>
    <w:p w14:paraId="01F99ABB" w14:textId="77777777" w:rsidR="00C836D0" w:rsidRPr="00C836D0" w:rsidRDefault="00C836D0" w:rsidP="00C836D0">
      <w:pPr>
        <w:pStyle w:val="NoSpacing"/>
        <w:numPr>
          <w:ilvl w:val="0"/>
          <w:numId w:val="25"/>
        </w:numPr>
        <w:rPr>
          <w:rFonts w:asciiTheme="minorHAnsi" w:eastAsia="SimSun" w:hAnsiTheme="minorHAnsi"/>
          <w:color w:val="auto"/>
        </w:rPr>
      </w:pPr>
      <w:r w:rsidRPr="00C836D0">
        <w:rPr>
          <w:rFonts w:asciiTheme="minorHAnsi" w:eastAsia="SimSun" w:hAnsiTheme="minorHAnsi"/>
          <w:color w:val="auto"/>
        </w:rPr>
        <w:t>position UNDP with a wide variety of audiences through multiple channels using creative and innovative content.</w:t>
      </w:r>
    </w:p>
    <w:p w14:paraId="5FB19860" w14:textId="77777777" w:rsidR="00C836D0" w:rsidRPr="00C836D0" w:rsidRDefault="00C836D0" w:rsidP="00C836D0">
      <w:pPr>
        <w:pStyle w:val="NoSpacing"/>
        <w:numPr>
          <w:ilvl w:val="0"/>
          <w:numId w:val="25"/>
        </w:numPr>
        <w:rPr>
          <w:rFonts w:asciiTheme="minorHAnsi" w:eastAsia="SimSun" w:hAnsiTheme="minorHAnsi"/>
          <w:color w:val="auto"/>
        </w:rPr>
      </w:pPr>
      <w:r w:rsidRPr="00C836D0">
        <w:rPr>
          <w:rFonts w:asciiTheme="minorHAnsi" w:eastAsia="SimSun" w:hAnsiTheme="minorHAnsi"/>
          <w:color w:val="auto"/>
        </w:rPr>
        <w:t>support and guide Country Offices, through regional communications presence, to produce compelling and relevant content for their audiences.</w:t>
      </w:r>
    </w:p>
    <w:p w14:paraId="3B2F8DAB" w14:textId="77777777" w:rsidR="00C836D0" w:rsidRPr="00C836D0" w:rsidRDefault="00C836D0" w:rsidP="00C836D0">
      <w:pPr>
        <w:pStyle w:val="NoSpacing"/>
        <w:numPr>
          <w:ilvl w:val="0"/>
          <w:numId w:val="25"/>
        </w:numPr>
        <w:rPr>
          <w:rFonts w:asciiTheme="minorHAnsi" w:eastAsia="SimSun" w:hAnsiTheme="minorHAnsi"/>
          <w:color w:val="auto"/>
        </w:rPr>
      </w:pPr>
      <w:r w:rsidRPr="00C836D0">
        <w:rPr>
          <w:rFonts w:asciiTheme="minorHAnsi" w:eastAsia="SimSun" w:hAnsiTheme="minorHAnsi"/>
          <w:color w:val="auto"/>
        </w:rPr>
        <w:t>lead on UNDP’s corporate External Engagement Plan focused on engagement and positioning of UNDP in global debates through compelling products and messaging.</w:t>
      </w:r>
    </w:p>
    <w:p w14:paraId="2A5AAE17" w14:textId="77777777" w:rsidR="00C836D0" w:rsidRPr="00C836D0" w:rsidRDefault="00C836D0" w:rsidP="00C836D0">
      <w:pPr>
        <w:pStyle w:val="NoSpacing"/>
        <w:rPr>
          <w:rFonts w:asciiTheme="minorHAnsi" w:eastAsia="SimSun" w:hAnsiTheme="minorHAnsi"/>
          <w:color w:val="auto"/>
        </w:rPr>
      </w:pPr>
    </w:p>
    <w:p w14:paraId="64A39C88" w14:textId="7F133571" w:rsidR="00C836D0" w:rsidRPr="004025C1" w:rsidRDefault="00C836D0" w:rsidP="004025C1">
      <w:pPr>
        <w:pStyle w:val="NoSpacing"/>
        <w:rPr>
          <w:rFonts w:asciiTheme="minorHAnsi" w:eastAsia="SimSun" w:hAnsiTheme="minorHAnsi"/>
          <w:color w:val="auto"/>
        </w:rPr>
      </w:pPr>
      <w:r w:rsidRPr="00C836D0">
        <w:rPr>
          <w:rFonts w:asciiTheme="minorHAnsi" w:eastAsia="SimSun" w:hAnsiTheme="minorHAnsi"/>
          <w:color w:val="auto"/>
        </w:rPr>
        <w:t xml:space="preserve">The internal communications function within </w:t>
      </w:r>
      <w:r w:rsidR="004025C1">
        <w:rPr>
          <w:rFonts w:asciiTheme="minorHAnsi" w:eastAsia="SimSun" w:hAnsiTheme="minorHAnsi"/>
          <w:color w:val="auto"/>
        </w:rPr>
        <w:t>AMCG</w:t>
      </w:r>
      <w:r w:rsidRPr="00C836D0">
        <w:rPr>
          <w:rFonts w:asciiTheme="minorHAnsi" w:eastAsia="SimSun" w:hAnsiTheme="minorHAnsi"/>
          <w:color w:val="auto"/>
        </w:rPr>
        <w:t xml:space="preserve"> supports continuous improvement in UNDP’s internal communications tools, channels and practices and provides guidance and support to internal campaigns and initiative</w:t>
      </w:r>
      <w:r>
        <w:rPr>
          <w:rFonts w:asciiTheme="minorHAnsi" w:eastAsia="SimSun" w:hAnsiTheme="minorHAnsi"/>
          <w:color w:val="auto"/>
        </w:rPr>
        <w:t xml:space="preserve">s. </w:t>
      </w:r>
    </w:p>
    <w:p w14:paraId="1810679D" w14:textId="77777777" w:rsidR="00C836D0" w:rsidRDefault="00C836D0">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78300C38" w:rsidR="00A601F8" w:rsidRPr="00A13D39" w:rsidRDefault="00981876" w:rsidP="00BA493E">
      <w:pPr>
        <w:jc w:val="both"/>
        <w:rPr>
          <w:rFonts w:asciiTheme="minorHAnsi" w:hAnsiTheme="minorHAnsi" w:cs="Arial"/>
          <w:lang w:val="en-GB"/>
        </w:rPr>
      </w:pPr>
      <w:r>
        <w:rPr>
          <w:rFonts w:asciiTheme="minorHAnsi" w:hAnsiTheme="minorHAnsi" w:cs="Arial"/>
          <w:lang w:val="en-GB"/>
        </w:rPr>
        <w:t>T</w:t>
      </w:r>
      <w:r w:rsidR="00160D95" w:rsidRPr="00A13D39">
        <w:rPr>
          <w:rFonts w:asciiTheme="minorHAnsi" w:hAnsiTheme="minorHAnsi" w:cs="Arial"/>
          <w:lang w:val="en-GB"/>
        </w:rPr>
        <w: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lastRenderedPageBreak/>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40BA1265" w:rsidR="007F00C2" w:rsidRPr="007F00C2" w:rsidRDefault="00E815D6" w:rsidP="007F00C2">
            <w:pPr>
              <w:rPr>
                <w:rFonts w:asciiTheme="minorHAnsi" w:hAnsiTheme="minorHAnsi"/>
                <w:b/>
                <w:lang w:val="en-GB"/>
              </w:rPr>
            </w:pPr>
            <w:r>
              <w:rPr>
                <w:rFonts w:asciiTheme="minorHAnsi" w:hAnsiTheme="minorHAnsi"/>
                <w:b/>
                <w:lang w:val="en-GB"/>
              </w:rPr>
              <w:t>Provide internal communications guidance and support to priority internal campaigns and initiatives</w:t>
            </w:r>
          </w:p>
          <w:p w14:paraId="1B82AE65" w14:textId="77777777" w:rsidR="004025C1" w:rsidRDefault="004025C1" w:rsidP="007F00C2">
            <w:pPr>
              <w:pStyle w:val="ListParagraph"/>
              <w:numPr>
                <w:ilvl w:val="0"/>
                <w:numId w:val="24"/>
              </w:numPr>
              <w:rPr>
                <w:rFonts w:asciiTheme="minorHAnsi" w:hAnsiTheme="minorHAnsi"/>
                <w:lang w:val="en-GB"/>
              </w:rPr>
            </w:pPr>
            <w:r>
              <w:rPr>
                <w:rFonts w:asciiTheme="minorHAnsi" w:hAnsiTheme="minorHAnsi"/>
                <w:lang w:val="en-GB"/>
              </w:rPr>
              <w:t>Support strategic internal communications planning</w:t>
            </w:r>
          </w:p>
          <w:p w14:paraId="27B7117D" w14:textId="77777777" w:rsidR="004025C1" w:rsidRDefault="004025C1" w:rsidP="007F00C2">
            <w:pPr>
              <w:pStyle w:val="ListParagraph"/>
              <w:numPr>
                <w:ilvl w:val="0"/>
                <w:numId w:val="24"/>
              </w:numPr>
              <w:rPr>
                <w:rFonts w:asciiTheme="minorHAnsi" w:hAnsiTheme="minorHAnsi"/>
                <w:lang w:val="en-GB"/>
              </w:rPr>
            </w:pPr>
            <w:r>
              <w:rPr>
                <w:rFonts w:asciiTheme="minorHAnsi" w:hAnsiTheme="minorHAnsi"/>
                <w:lang w:val="en-GB"/>
              </w:rPr>
              <w:t>Design communications and behaviour change actions</w:t>
            </w:r>
          </w:p>
          <w:p w14:paraId="6C575FEC" w14:textId="77777777" w:rsidR="00981876" w:rsidRDefault="00981876" w:rsidP="00981876">
            <w:pPr>
              <w:pStyle w:val="ListParagraph"/>
              <w:numPr>
                <w:ilvl w:val="0"/>
                <w:numId w:val="24"/>
              </w:numPr>
              <w:rPr>
                <w:rFonts w:asciiTheme="minorHAnsi" w:hAnsiTheme="minorHAnsi"/>
                <w:lang w:val="en-GB"/>
              </w:rPr>
            </w:pPr>
            <w:r w:rsidRPr="00981876">
              <w:rPr>
                <w:rFonts w:asciiTheme="minorHAnsi" w:hAnsiTheme="minorHAnsi"/>
                <w:lang w:val="en-GB"/>
              </w:rPr>
              <w:t>Edit and/or create assets for a wide range of communications products</w:t>
            </w:r>
          </w:p>
          <w:p w14:paraId="2653B856" w14:textId="3916F327" w:rsidR="004025C1" w:rsidRDefault="004025C1" w:rsidP="00981876">
            <w:pPr>
              <w:pStyle w:val="ListParagraph"/>
              <w:numPr>
                <w:ilvl w:val="0"/>
                <w:numId w:val="24"/>
              </w:numPr>
              <w:rPr>
                <w:rFonts w:asciiTheme="minorHAnsi" w:hAnsiTheme="minorHAnsi"/>
                <w:lang w:val="en-GB"/>
              </w:rPr>
            </w:pPr>
            <w:r>
              <w:rPr>
                <w:rFonts w:asciiTheme="minorHAnsi" w:hAnsiTheme="minorHAnsi"/>
                <w:lang w:val="en-GB"/>
              </w:rPr>
              <w:t>Support measurement and evaluation</w:t>
            </w:r>
          </w:p>
          <w:p w14:paraId="56C02510" w14:textId="2AC65B18" w:rsidR="00F64BAA" w:rsidRPr="00981876" w:rsidRDefault="00F64BAA" w:rsidP="00981876">
            <w:pPr>
              <w:pStyle w:val="ListParagraph"/>
              <w:rPr>
                <w:rFonts w:asciiTheme="minorHAnsi" w:hAnsiTheme="minorHAnsi"/>
                <w:lang w:val="en-GB"/>
              </w:rPr>
            </w:pPr>
          </w:p>
        </w:tc>
        <w:tc>
          <w:tcPr>
            <w:tcW w:w="1005" w:type="dxa"/>
          </w:tcPr>
          <w:p w14:paraId="245AC64F" w14:textId="2F79BC65" w:rsidR="00F64BAA" w:rsidRPr="001B6350" w:rsidRDefault="004025C1" w:rsidP="004025C1">
            <w:pPr>
              <w:jc w:val="center"/>
              <w:rPr>
                <w:rFonts w:asciiTheme="minorHAnsi" w:hAnsiTheme="minorHAnsi" w:cs="Arial"/>
                <w:b/>
                <w:lang w:val="en-GB"/>
              </w:rPr>
            </w:pPr>
            <w:r>
              <w:rPr>
                <w:rFonts w:asciiTheme="minorHAnsi" w:hAnsiTheme="minorHAnsi" w:cs="Arial"/>
                <w:b/>
                <w:lang w:val="en-GB"/>
              </w:rPr>
              <w:t>4</w:t>
            </w:r>
            <w:r w:rsidR="00981876">
              <w:rPr>
                <w:rFonts w:asciiTheme="minorHAnsi" w:hAnsiTheme="minorHAnsi" w:cs="Arial"/>
                <w:b/>
                <w:lang w:val="en-GB"/>
              </w:rPr>
              <w:t>0</w:t>
            </w:r>
            <w:r w:rsidR="00F64BAA" w:rsidRPr="001B6350">
              <w:rPr>
                <w:rFonts w:asciiTheme="minorHAnsi" w:hAnsiTheme="minorHAnsi" w:cs="Arial"/>
                <w:b/>
                <w:lang w:val="en-GB"/>
              </w:rPr>
              <w:t>%</w:t>
            </w:r>
          </w:p>
        </w:tc>
      </w:tr>
      <w:tr w:rsidR="00E815D6" w:rsidRPr="00A13D39" w14:paraId="35358F1B" w14:textId="77777777" w:rsidTr="00B65404">
        <w:tc>
          <w:tcPr>
            <w:tcW w:w="510" w:type="dxa"/>
          </w:tcPr>
          <w:p w14:paraId="1870CC3A" w14:textId="39DBDF84" w:rsidR="00E815D6" w:rsidRDefault="00981876" w:rsidP="00D91EE0">
            <w:pPr>
              <w:rPr>
                <w:rFonts w:asciiTheme="minorHAnsi" w:hAnsiTheme="minorHAnsi" w:cs="Arial"/>
                <w:lang w:val="en-GB"/>
              </w:rPr>
            </w:pPr>
            <w:r>
              <w:rPr>
                <w:rFonts w:asciiTheme="minorHAnsi" w:hAnsiTheme="minorHAnsi" w:cs="Arial"/>
                <w:lang w:val="en-GB"/>
              </w:rPr>
              <w:t>2</w:t>
            </w:r>
          </w:p>
        </w:tc>
        <w:tc>
          <w:tcPr>
            <w:tcW w:w="7310" w:type="dxa"/>
          </w:tcPr>
          <w:p w14:paraId="5F4F38D9" w14:textId="33B18F1D" w:rsidR="00E815D6" w:rsidRPr="00F20631" w:rsidRDefault="00E815D6" w:rsidP="00E815D6">
            <w:pPr>
              <w:rPr>
                <w:rFonts w:asciiTheme="minorHAnsi" w:hAnsiTheme="minorHAnsi"/>
                <w:b/>
                <w:bCs/>
                <w:lang w:val="en-GB"/>
              </w:rPr>
            </w:pPr>
            <w:r>
              <w:rPr>
                <w:rFonts w:asciiTheme="minorHAnsi" w:hAnsiTheme="minorHAnsi"/>
                <w:b/>
                <w:bCs/>
                <w:lang w:val="en-GB"/>
              </w:rPr>
              <w:t>Support the development and publishing of internal communications content, including news stories, broadcast email messages and social media posts</w:t>
            </w:r>
          </w:p>
          <w:p w14:paraId="7D44CEA5" w14:textId="1D55854B" w:rsidR="00E815D6" w:rsidRPr="007F00C2" w:rsidRDefault="00E815D6" w:rsidP="00E815D6">
            <w:pPr>
              <w:pStyle w:val="ListParagraph"/>
              <w:numPr>
                <w:ilvl w:val="0"/>
                <w:numId w:val="19"/>
              </w:numPr>
              <w:rPr>
                <w:rFonts w:asciiTheme="minorHAnsi" w:hAnsiTheme="minorHAnsi"/>
                <w:lang w:val="en-GB"/>
              </w:rPr>
            </w:pPr>
            <w:r>
              <w:rPr>
                <w:rFonts w:asciiTheme="minorHAnsi" w:hAnsiTheme="minorHAnsi"/>
                <w:lang w:val="en-GB"/>
              </w:rPr>
              <w:t>Liaise with content contributors</w:t>
            </w:r>
          </w:p>
          <w:p w14:paraId="53B88CC5" w14:textId="211F82F4" w:rsidR="00E815D6" w:rsidRDefault="00E815D6" w:rsidP="00E815D6">
            <w:pPr>
              <w:pStyle w:val="ListParagraph"/>
              <w:numPr>
                <w:ilvl w:val="0"/>
                <w:numId w:val="19"/>
              </w:numPr>
              <w:rPr>
                <w:rFonts w:asciiTheme="minorHAnsi" w:hAnsiTheme="minorHAnsi"/>
                <w:lang w:val="en-GB"/>
              </w:rPr>
            </w:pPr>
            <w:r>
              <w:rPr>
                <w:rFonts w:asciiTheme="minorHAnsi" w:hAnsiTheme="minorHAnsi"/>
                <w:lang w:val="en-GB"/>
              </w:rPr>
              <w:t>Design and provide training in creating effective content</w:t>
            </w:r>
          </w:p>
          <w:p w14:paraId="2EAD4FD0" w14:textId="4363FFAE" w:rsidR="00E815D6" w:rsidRPr="00E815D6" w:rsidRDefault="00E815D6" w:rsidP="00E815D6">
            <w:pPr>
              <w:pStyle w:val="ListParagraph"/>
              <w:numPr>
                <w:ilvl w:val="0"/>
                <w:numId w:val="19"/>
              </w:numPr>
              <w:rPr>
                <w:rFonts w:asciiTheme="minorHAnsi" w:hAnsiTheme="minorHAnsi"/>
                <w:lang w:val="en-GB"/>
              </w:rPr>
            </w:pPr>
            <w:r>
              <w:rPr>
                <w:rFonts w:asciiTheme="minorHAnsi" w:hAnsiTheme="minorHAnsi"/>
                <w:lang w:val="en-GB"/>
              </w:rPr>
              <w:t>Writing, editing</w:t>
            </w:r>
            <w:r w:rsidR="00640F52">
              <w:rPr>
                <w:rFonts w:asciiTheme="minorHAnsi" w:hAnsiTheme="minorHAnsi"/>
                <w:lang w:val="en-GB"/>
              </w:rPr>
              <w:t xml:space="preserve">, </w:t>
            </w:r>
            <w:r>
              <w:rPr>
                <w:rFonts w:asciiTheme="minorHAnsi" w:hAnsiTheme="minorHAnsi"/>
                <w:lang w:val="en-GB"/>
              </w:rPr>
              <w:t>design</w:t>
            </w:r>
            <w:r w:rsidR="00640F52">
              <w:rPr>
                <w:rFonts w:asciiTheme="minorHAnsi" w:hAnsiTheme="minorHAnsi"/>
                <w:lang w:val="en-GB"/>
              </w:rPr>
              <w:t xml:space="preserve"> and quality control</w:t>
            </w:r>
          </w:p>
          <w:p w14:paraId="6BB6A311" w14:textId="6E548A34" w:rsidR="00E815D6" w:rsidRPr="007F00C2" w:rsidRDefault="00E815D6" w:rsidP="00E815D6">
            <w:pPr>
              <w:pStyle w:val="ListParagraph"/>
              <w:numPr>
                <w:ilvl w:val="0"/>
                <w:numId w:val="19"/>
              </w:numPr>
              <w:rPr>
                <w:rFonts w:asciiTheme="minorHAnsi" w:hAnsiTheme="minorHAnsi"/>
                <w:lang w:val="en-GB"/>
              </w:rPr>
            </w:pPr>
            <w:r>
              <w:rPr>
                <w:rFonts w:asciiTheme="minorHAnsi" w:hAnsiTheme="minorHAnsi"/>
                <w:lang w:val="en-GB"/>
              </w:rPr>
              <w:t>Help manage key internal channels.</w:t>
            </w:r>
          </w:p>
          <w:p w14:paraId="3A577C6E" w14:textId="77777777" w:rsidR="00E815D6" w:rsidRDefault="00E815D6" w:rsidP="007F00C2">
            <w:pPr>
              <w:rPr>
                <w:rFonts w:asciiTheme="minorHAnsi" w:hAnsiTheme="minorHAnsi"/>
                <w:b/>
                <w:bCs/>
                <w:lang w:val="en-GB"/>
              </w:rPr>
            </w:pPr>
          </w:p>
        </w:tc>
        <w:tc>
          <w:tcPr>
            <w:tcW w:w="1005" w:type="dxa"/>
          </w:tcPr>
          <w:p w14:paraId="494D4AA6" w14:textId="05EC1CE4" w:rsidR="00E815D6" w:rsidRPr="001B6350" w:rsidRDefault="004025C1" w:rsidP="004025C1">
            <w:pPr>
              <w:jc w:val="center"/>
              <w:rPr>
                <w:rFonts w:asciiTheme="minorHAnsi" w:hAnsiTheme="minorHAnsi" w:cs="Arial"/>
                <w:b/>
                <w:lang w:val="en-GB"/>
              </w:rPr>
            </w:pPr>
            <w:r>
              <w:rPr>
                <w:rFonts w:asciiTheme="minorHAnsi" w:hAnsiTheme="minorHAnsi" w:cs="Arial"/>
                <w:b/>
                <w:lang w:val="en-GB"/>
              </w:rPr>
              <w:t>4</w:t>
            </w:r>
            <w:r w:rsidR="00981876">
              <w:rPr>
                <w:rFonts w:asciiTheme="minorHAnsi" w:hAnsiTheme="minorHAnsi" w:cs="Arial"/>
                <w:b/>
                <w:lang w:val="en-GB"/>
              </w:rPr>
              <w:t>0%</w:t>
            </w:r>
          </w:p>
        </w:tc>
      </w:tr>
      <w:tr w:rsidR="00981876" w:rsidRPr="00A13D39" w14:paraId="3B0C5D6C" w14:textId="77777777" w:rsidTr="003955F4">
        <w:tc>
          <w:tcPr>
            <w:tcW w:w="510" w:type="dxa"/>
          </w:tcPr>
          <w:p w14:paraId="3D2CC06E" w14:textId="71926182" w:rsidR="00981876" w:rsidRPr="00A13D39" w:rsidRDefault="00981876" w:rsidP="003955F4">
            <w:pPr>
              <w:rPr>
                <w:rFonts w:asciiTheme="minorHAnsi" w:hAnsiTheme="minorHAnsi" w:cs="Arial"/>
                <w:lang w:val="en-GB"/>
              </w:rPr>
            </w:pPr>
            <w:r>
              <w:rPr>
                <w:rFonts w:asciiTheme="minorHAnsi" w:hAnsiTheme="minorHAnsi" w:cs="Arial"/>
                <w:lang w:val="en-GB"/>
              </w:rPr>
              <w:t>3</w:t>
            </w:r>
          </w:p>
        </w:tc>
        <w:tc>
          <w:tcPr>
            <w:tcW w:w="7310" w:type="dxa"/>
          </w:tcPr>
          <w:p w14:paraId="78DF07D3" w14:textId="77777777" w:rsidR="00981876" w:rsidRPr="00F20631" w:rsidRDefault="00981876" w:rsidP="003955F4">
            <w:pPr>
              <w:rPr>
                <w:rFonts w:asciiTheme="minorHAnsi" w:hAnsiTheme="minorHAnsi"/>
                <w:b/>
                <w:bCs/>
                <w:lang w:val="en-GB"/>
              </w:rPr>
            </w:pPr>
            <w:r>
              <w:rPr>
                <w:rFonts w:asciiTheme="minorHAnsi" w:hAnsiTheme="minorHAnsi"/>
                <w:b/>
                <w:bCs/>
                <w:lang w:val="en-GB"/>
              </w:rPr>
              <w:t>Develop and socialize resources to support internal communications best practices throughout the organization</w:t>
            </w:r>
          </w:p>
          <w:p w14:paraId="5EBD4F28" w14:textId="41E37D65" w:rsidR="00981876" w:rsidRPr="00981876" w:rsidRDefault="00981876" w:rsidP="00981876">
            <w:pPr>
              <w:pStyle w:val="ListParagraph"/>
              <w:numPr>
                <w:ilvl w:val="0"/>
                <w:numId w:val="19"/>
              </w:numPr>
              <w:rPr>
                <w:rFonts w:asciiTheme="minorHAnsi" w:hAnsiTheme="minorHAnsi"/>
                <w:lang w:val="en-GB"/>
              </w:rPr>
            </w:pPr>
            <w:r>
              <w:rPr>
                <w:rFonts w:asciiTheme="minorHAnsi" w:hAnsiTheme="minorHAnsi"/>
                <w:lang w:val="en-GB"/>
              </w:rPr>
              <w:t>Co-create resources to help colleagues communicate more effectively, including consulting with colleagues across the organization</w:t>
            </w:r>
          </w:p>
          <w:p w14:paraId="1F9297BC" w14:textId="4C38FBFC" w:rsidR="00981876" w:rsidRPr="00F20631" w:rsidRDefault="00981876" w:rsidP="003955F4">
            <w:pPr>
              <w:pStyle w:val="ListParagraph"/>
              <w:numPr>
                <w:ilvl w:val="0"/>
                <w:numId w:val="19"/>
              </w:numPr>
              <w:rPr>
                <w:rFonts w:asciiTheme="minorHAnsi" w:hAnsiTheme="minorHAnsi"/>
                <w:lang w:val="en-GB"/>
              </w:rPr>
            </w:pPr>
            <w:r>
              <w:rPr>
                <w:rFonts w:asciiTheme="minorHAnsi" w:hAnsiTheme="minorHAnsi"/>
                <w:lang w:val="en-GB"/>
              </w:rPr>
              <w:t xml:space="preserve">Develop and deliver communications </w:t>
            </w:r>
            <w:r w:rsidR="004025C1">
              <w:rPr>
                <w:rFonts w:asciiTheme="minorHAnsi" w:hAnsiTheme="minorHAnsi"/>
                <w:lang w:val="en-GB"/>
              </w:rPr>
              <w:t>campaigns</w:t>
            </w:r>
            <w:r>
              <w:rPr>
                <w:rFonts w:asciiTheme="minorHAnsi" w:hAnsiTheme="minorHAnsi"/>
                <w:lang w:val="en-GB"/>
              </w:rPr>
              <w:t xml:space="preserve"> to socialize these resources</w:t>
            </w:r>
          </w:p>
        </w:tc>
        <w:tc>
          <w:tcPr>
            <w:tcW w:w="1005" w:type="dxa"/>
          </w:tcPr>
          <w:p w14:paraId="55D3D7D8" w14:textId="4DF5836B" w:rsidR="00981876" w:rsidRPr="001B6350" w:rsidRDefault="004025C1" w:rsidP="004025C1">
            <w:pPr>
              <w:jc w:val="center"/>
              <w:rPr>
                <w:rFonts w:asciiTheme="minorHAnsi" w:hAnsiTheme="minorHAnsi" w:cs="Arial"/>
                <w:b/>
                <w:lang w:val="en-GB"/>
              </w:rPr>
            </w:pPr>
            <w:r>
              <w:rPr>
                <w:rFonts w:asciiTheme="minorHAnsi" w:hAnsiTheme="minorHAnsi" w:cs="Arial"/>
                <w:b/>
                <w:lang w:val="en-GB"/>
              </w:rPr>
              <w:t>1</w:t>
            </w:r>
            <w:r w:rsidR="00981876">
              <w:rPr>
                <w:rFonts w:asciiTheme="minorHAnsi" w:hAnsiTheme="minorHAnsi" w:cs="Arial"/>
                <w:b/>
                <w:lang w:val="en-GB"/>
              </w:rPr>
              <w:t>0</w:t>
            </w:r>
            <w:r w:rsidR="00981876" w:rsidRPr="001B6350">
              <w:rPr>
                <w:rFonts w:asciiTheme="minorHAnsi" w:hAnsiTheme="minorHAnsi" w:cs="Arial"/>
                <w:b/>
                <w:lang w:val="en-GB"/>
              </w:rPr>
              <w:t>%</w:t>
            </w:r>
          </w:p>
        </w:tc>
      </w:tr>
      <w:tr w:rsidR="004025C1" w:rsidRPr="00D91EE0" w14:paraId="2E1817AF" w14:textId="77777777" w:rsidTr="00F71D0D">
        <w:tc>
          <w:tcPr>
            <w:tcW w:w="510" w:type="dxa"/>
          </w:tcPr>
          <w:p w14:paraId="4238BC90" w14:textId="72D6AD0A" w:rsidR="004025C1" w:rsidRPr="00D91EE0" w:rsidRDefault="004025C1" w:rsidP="004025C1">
            <w:pPr>
              <w:rPr>
                <w:rFonts w:asciiTheme="minorHAnsi" w:hAnsiTheme="minorHAnsi"/>
                <w:lang w:val="en-GB"/>
              </w:rPr>
            </w:pPr>
            <w:r>
              <w:rPr>
                <w:rFonts w:asciiTheme="minorHAnsi" w:hAnsiTheme="minorHAnsi"/>
                <w:lang w:val="en-GB"/>
              </w:rPr>
              <w:t>4</w:t>
            </w:r>
          </w:p>
        </w:tc>
        <w:tc>
          <w:tcPr>
            <w:tcW w:w="7310" w:type="dxa"/>
          </w:tcPr>
          <w:p w14:paraId="15A6BE80" w14:textId="6AA0F352" w:rsidR="004025C1" w:rsidRPr="00D91EE0" w:rsidRDefault="004025C1" w:rsidP="004025C1">
            <w:pPr>
              <w:rPr>
                <w:rFonts w:asciiTheme="minorHAnsi" w:hAnsiTheme="minorHAnsi"/>
                <w:b/>
                <w:bCs/>
                <w:lang w:val="en-GB"/>
              </w:rPr>
            </w:pPr>
            <w:r w:rsidRPr="00D91EE0">
              <w:rPr>
                <w:rFonts w:asciiTheme="minorHAnsi" w:hAnsiTheme="minorHAnsi"/>
                <w:b/>
                <w:bCs/>
                <w:lang w:val="en-GB"/>
              </w:rPr>
              <w:t>Other:</w:t>
            </w:r>
          </w:p>
          <w:p w14:paraId="0F387E28" w14:textId="11DE2C21" w:rsidR="004025C1" w:rsidRPr="00D91EE0" w:rsidRDefault="004025C1" w:rsidP="004025C1">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Pr>
                <w:rFonts w:asciiTheme="minorHAnsi" w:hAnsiTheme="minorHAnsi"/>
                <w:lang w:val="en-GB"/>
              </w:rPr>
              <w:t>ad hoc activities as seen relevant and needed.</w:t>
            </w:r>
          </w:p>
        </w:tc>
        <w:tc>
          <w:tcPr>
            <w:tcW w:w="1005" w:type="dxa"/>
          </w:tcPr>
          <w:p w14:paraId="6328C4F0" w14:textId="2013B80F" w:rsidR="004025C1" w:rsidRPr="00D91EE0" w:rsidRDefault="004025C1" w:rsidP="004025C1">
            <w:pPr>
              <w:ind w:left="360"/>
              <w:jc w:val="center"/>
              <w:rPr>
                <w:rFonts w:asciiTheme="minorHAnsi" w:hAnsiTheme="minorHAnsi"/>
                <w:b/>
                <w:bCs/>
                <w:lang w:val="en-GB"/>
              </w:rPr>
            </w:pPr>
            <w:r>
              <w:rPr>
                <w:rFonts w:asciiTheme="minorHAnsi" w:hAnsiTheme="minorHAnsi" w:cs="Arial"/>
                <w:b/>
                <w:lang w:val="en-GB"/>
              </w:rPr>
              <w:t>10</w:t>
            </w:r>
            <w:r w:rsidRPr="001B6350">
              <w:rPr>
                <w:rFonts w:asciiTheme="minorHAnsi" w:hAnsiTheme="minorHAnsi" w:cs="Arial"/>
                <w:b/>
                <w:lang w:val="en-GB"/>
              </w:rPr>
              <w:t>%</w:t>
            </w:r>
          </w:p>
        </w:tc>
      </w:tr>
    </w:tbl>
    <w:p w14:paraId="6D516F03" w14:textId="5E90BDDE" w:rsidR="00A601F8" w:rsidRDefault="00A601F8"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1EF62EAF" w:rsidR="00E31C10"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EE75B9">
                <w:rPr>
                  <w:rFonts w:ascii="Calibri" w:hAnsi="Calibri" w:cs="Calibri"/>
                  <w:b/>
                  <w:bCs/>
                  <w:sz w:val="22"/>
                  <w:szCs w:val="22"/>
                  <w:lang w:val="en-GB"/>
                </w:rPr>
                <w:t>Communications, knowledge management, journalism, design, behaviour change, public relations or a related field</w:t>
              </w:r>
            </w:sdtContent>
          </w:sdt>
        </w:sdtContent>
      </w:sdt>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2328236F" w14:textId="14017BC2" w:rsidR="00D91EE0" w:rsidRDefault="004025C1"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Knowledge of communications software an advantage</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088F9003" w:rsidR="004300EB" w:rsidRPr="00135960" w:rsidRDefault="00EE75B9"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Fluency in 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376F9C0A"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EE75B9">
        <w:rPr>
          <w:rFonts w:asciiTheme="minorHAnsi" w:hAnsiTheme="minorHAnsi" w:cs="Arial"/>
          <w:sz w:val="20"/>
        </w:rPr>
        <w:t>Spanish</w:t>
      </w:r>
      <w:r w:rsidR="004025C1">
        <w:rPr>
          <w:rFonts w:asciiTheme="minorHAnsi" w:hAnsiTheme="minorHAnsi" w:cs="Arial"/>
          <w:sz w:val="20"/>
        </w:rPr>
        <w:t xml:space="preserve"> or</w:t>
      </w:r>
      <w:r w:rsidR="00EE75B9">
        <w:rPr>
          <w:rFonts w:asciiTheme="minorHAnsi" w:hAnsiTheme="minorHAnsi" w:cs="Arial"/>
          <w:sz w:val="20"/>
        </w:rPr>
        <w:t xml:space="preserve"> French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3CA2A9E0" w14:textId="77777777" w:rsidR="00EE75B9" w:rsidRDefault="00EE75B9" w:rsidP="00EE75B9">
      <w:pPr>
        <w:pStyle w:val="Header"/>
        <w:numPr>
          <w:ilvl w:val="0"/>
          <w:numId w:val="19"/>
        </w:numPr>
        <w:ind w:left="714" w:hanging="357"/>
        <w:jc w:val="both"/>
        <w:rPr>
          <w:rFonts w:asciiTheme="minorHAnsi" w:hAnsiTheme="minorHAnsi" w:cs="Arial"/>
          <w:sz w:val="20"/>
        </w:rPr>
      </w:pPr>
      <w:r>
        <w:rPr>
          <w:rFonts w:asciiTheme="minorHAnsi" w:hAnsiTheme="minorHAnsi" w:cs="Arial"/>
          <w:sz w:val="20"/>
        </w:rPr>
        <w:t>Exceptional skill in writing and editing in English</w:t>
      </w:r>
    </w:p>
    <w:p w14:paraId="3A0DFE76" w14:textId="2C47C618" w:rsidR="00EE75B9" w:rsidRPr="00EE75B9" w:rsidRDefault="00EE75B9" w:rsidP="00EE75B9">
      <w:pPr>
        <w:pStyle w:val="Header"/>
        <w:numPr>
          <w:ilvl w:val="0"/>
          <w:numId w:val="19"/>
        </w:numPr>
        <w:ind w:left="714" w:hanging="357"/>
        <w:jc w:val="both"/>
        <w:rPr>
          <w:rFonts w:asciiTheme="minorHAnsi" w:hAnsiTheme="minorHAnsi" w:cs="Arial"/>
          <w:sz w:val="20"/>
        </w:rPr>
      </w:pPr>
      <w:r w:rsidRPr="00EE75B9">
        <w:rPr>
          <w:rFonts w:asciiTheme="minorHAnsi" w:hAnsiTheme="minorHAnsi" w:cs="Arial"/>
          <w:sz w:val="20"/>
        </w:rPr>
        <w:t xml:space="preserve">Experience and skill in one or more of the following areas would be an advantage: storytelling, training, graphic design, event planning, creating learning objects, social media campaigns, photography, videography and </w:t>
      </w:r>
      <w:proofErr w:type="spellStart"/>
      <w:r w:rsidRPr="00EE75B9">
        <w:rPr>
          <w:rFonts w:asciiTheme="minorHAnsi" w:hAnsiTheme="minorHAnsi" w:cs="Arial"/>
          <w:sz w:val="20"/>
        </w:rPr>
        <w:t>behaviour</w:t>
      </w:r>
      <w:proofErr w:type="spellEnd"/>
      <w:r w:rsidRPr="00EE75B9">
        <w:rPr>
          <w:rFonts w:asciiTheme="minorHAnsi" w:hAnsiTheme="minorHAnsi" w:cs="Arial"/>
          <w:sz w:val="20"/>
        </w:rPr>
        <w:t xml:space="preserve"> change campaigns.</w:t>
      </w:r>
    </w:p>
    <w:p w14:paraId="229082A8" w14:textId="7678F8E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Consistently approaches work with energy and a positive, constructive attitude.</w:t>
      </w:r>
    </w:p>
    <w:sectPr w:rsidR="00897838" w:rsidRPr="00F20631" w:rsidSect="00795B3E">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0E4DA" w14:textId="77777777" w:rsidR="00795B3E" w:rsidRDefault="00795B3E">
      <w:r>
        <w:separator/>
      </w:r>
    </w:p>
  </w:endnote>
  <w:endnote w:type="continuationSeparator" w:id="0">
    <w:p w14:paraId="52880FFA" w14:textId="77777777" w:rsidR="00795B3E" w:rsidRDefault="0079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EF9A4" w14:textId="77777777" w:rsidR="00795B3E" w:rsidRDefault="00795B3E">
      <w:r>
        <w:separator/>
      </w:r>
    </w:p>
  </w:footnote>
  <w:footnote w:type="continuationSeparator" w:id="0">
    <w:p w14:paraId="67122E7B" w14:textId="77777777" w:rsidR="00795B3E" w:rsidRDefault="00795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252A3"/>
    <w:multiLevelType w:val="multilevel"/>
    <w:tmpl w:val="1E46D4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E02BF4"/>
    <w:multiLevelType w:val="multilevel"/>
    <w:tmpl w:val="F0DE12B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A823EE"/>
    <w:multiLevelType w:val="multilevel"/>
    <w:tmpl w:val="15F00BE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973440629">
    <w:abstractNumId w:val="13"/>
  </w:num>
  <w:num w:numId="2" w16cid:durableId="649746311">
    <w:abstractNumId w:val="19"/>
  </w:num>
  <w:num w:numId="3" w16cid:durableId="875313926">
    <w:abstractNumId w:val="5"/>
  </w:num>
  <w:num w:numId="4" w16cid:durableId="2027056694">
    <w:abstractNumId w:val="10"/>
  </w:num>
  <w:num w:numId="5" w16cid:durableId="290985705">
    <w:abstractNumId w:val="18"/>
  </w:num>
  <w:num w:numId="6" w16cid:durableId="989018232">
    <w:abstractNumId w:val="16"/>
  </w:num>
  <w:num w:numId="7" w16cid:durableId="300810513">
    <w:abstractNumId w:val="22"/>
  </w:num>
  <w:num w:numId="8" w16cid:durableId="2105807030">
    <w:abstractNumId w:val="8"/>
  </w:num>
  <w:num w:numId="9" w16cid:durableId="1964647819">
    <w:abstractNumId w:val="23"/>
  </w:num>
  <w:num w:numId="10" w16cid:durableId="258831364">
    <w:abstractNumId w:val="0"/>
  </w:num>
  <w:num w:numId="11" w16cid:durableId="1863474740">
    <w:abstractNumId w:val="11"/>
  </w:num>
  <w:num w:numId="12" w16cid:durableId="1418362584">
    <w:abstractNumId w:val="6"/>
  </w:num>
  <w:num w:numId="13" w16cid:durableId="1168516020">
    <w:abstractNumId w:val="20"/>
  </w:num>
  <w:num w:numId="14" w16cid:durableId="1633096000">
    <w:abstractNumId w:val="3"/>
  </w:num>
  <w:num w:numId="15" w16cid:durableId="38365616">
    <w:abstractNumId w:val="17"/>
  </w:num>
  <w:num w:numId="16" w16cid:durableId="155809075">
    <w:abstractNumId w:val="15"/>
  </w:num>
  <w:num w:numId="17" w16cid:durableId="427625101">
    <w:abstractNumId w:val="4"/>
  </w:num>
  <w:num w:numId="18" w16cid:durableId="30882221">
    <w:abstractNumId w:val="1"/>
  </w:num>
  <w:num w:numId="19" w16cid:durableId="308367556">
    <w:abstractNumId w:val="7"/>
  </w:num>
  <w:num w:numId="20" w16cid:durableId="830415426">
    <w:abstractNumId w:val="12"/>
  </w:num>
  <w:num w:numId="21" w16cid:durableId="1827354426">
    <w:abstractNumId w:val="25"/>
  </w:num>
  <w:num w:numId="22" w16cid:durableId="1066222721">
    <w:abstractNumId w:val="14"/>
  </w:num>
  <w:num w:numId="23" w16cid:durableId="1781336227">
    <w:abstractNumId w:val="9"/>
  </w:num>
  <w:num w:numId="24" w16cid:durableId="2124689412">
    <w:abstractNumId w:val="24"/>
  </w:num>
  <w:num w:numId="25" w16cid:durableId="1663047470">
    <w:abstractNumId w:val="2"/>
  </w:num>
  <w:num w:numId="26" w16cid:durableId="1662198344">
    <w:abstractNumId w:val="26"/>
  </w:num>
  <w:num w:numId="27" w16cid:durableId="17501551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25C1"/>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558"/>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52"/>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5B3E"/>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7263E"/>
    <w:rsid w:val="008812A4"/>
    <w:rsid w:val="0088255C"/>
    <w:rsid w:val="008866AE"/>
    <w:rsid w:val="00891155"/>
    <w:rsid w:val="0089453F"/>
    <w:rsid w:val="00895918"/>
    <w:rsid w:val="00897838"/>
    <w:rsid w:val="008A30C9"/>
    <w:rsid w:val="008A589A"/>
    <w:rsid w:val="008B1C6E"/>
    <w:rsid w:val="008B5546"/>
    <w:rsid w:val="008B5807"/>
    <w:rsid w:val="008C4FE5"/>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1876"/>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235E9"/>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36D0"/>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15D6"/>
    <w:rsid w:val="00E8606F"/>
    <w:rsid w:val="00E87C22"/>
    <w:rsid w:val="00EA063B"/>
    <w:rsid w:val="00EA0AE9"/>
    <w:rsid w:val="00EA28FF"/>
    <w:rsid w:val="00EB47A2"/>
    <w:rsid w:val="00EC0FF7"/>
    <w:rsid w:val="00ED0C31"/>
    <w:rsid w:val="00ED48BE"/>
    <w:rsid w:val="00EE0144"/>
    <w:rsid w:val="00EE34C2"/>
    <w:rsid w:val="00EE5405"/>
    <w:rsid w:val="00EE75B9"/>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Spacing">
    <w:name w:val="No Spacing"/>
    <w:uiPriority w:val="1"/>
    <w:qFormat/>
    <w:rsid w:val="00C836D0"/>
    <w:pPr>
      <w:widowControl w:val="0"/>
      <w:pBdr>
        <w:top w:val="nil"/>
        <w:left w:val="nil"/>
        <w:bottom w:val="nil"/>
        <w:right w:val="nil"/>
        <w:between w:val="nil"/>
      </w:pBdr>
    </w:pPr>
    <w:rPr>
      <w:rFonts w:ascii="Arial" w:eastAsia="Arial" w:hAnsi="Arial" w:cs="Arial"/>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 w:val="00F925CF"/>
    <w:rsid w:val="00FA50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863224D4-06CC-4F3B-8AE5-40CD972F7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31</cp:revision>
  <dcterms:created xsi:type="dcterms:W3CDTF">2022-02-22T14:10:00Z</dcterms:created>
  <dcterms:modified xsi:type="dcterms:W3CDTF">2024-03-05T09:55:00Z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