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1E4E681E"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1DE1DD6"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D412E1">
        <w:rPr>
          <w:rFonts w:asciiTheme="minorHAnsi" w:hAnsiTheme="minorHAnsi" w:cs="Arial"/>
          <w:lang w:val="en-GB"/>
        </w:rPr>
        <w:tab/>
      </w:r>
      <w:r w:rsidR="00D412E1">
        <w:rPr>
          <w:rFonts w:asciiTheme="minorHAnsi" w:hAnsiTheme="minorHAnsi" w:cs="Arial"/>
          <w:lang w:val="en-GB"/>
        </w:rPr>
        <w:tab/>
      </w:r>
      <w:r w:rsidR="00CE79AB">
        <w:rPr>
          <w:rFonts w:asciiTheme="minorHAnsi" w:hAnsiTheme="minorHAnsi" w:cs="Arial"/>
          <w:lang w:val="en-GB"/>
        </w:rPr>
        <w:tab/>
      </w:r>
      <w:r w:rsidR="00D25299">
        <w:rPr>
          <w:rFonts w:asciiTheme="minorHAnsi" w:hAnsiTheme="minorHAnsi" w:cs="Arial"/>
          <w:lang w:val="en-GB"/>
        </w:rPr>
        <w:t xml:space="preserve">Strategic </w:t>
      </w:r>
      <w:r w:rsidR="00BF3111">
        <w:rPr>
          <w:rFonts w:asciiTheme="minorHAnsi" w:hAnsiTheme="minorHAnsi" w:cs="Arial"/>
          <w:lang w:val="en-GB"/>
        </w:rPr>
        <w:t xml:space="preserve">Government </w:t>
      </w:r>
      <w:r w:rsidR="00D412E1">
        <w:rPr>
          <w:rFonts w:asciiTheme="minorHAnsi" w:hAnsiTheme="minorHAnsi" w:cs="Arial"/>
          <w:lang w:val="en-GB"/>
        </w:rPr>
        <w:t>Partnerships Fellow</w:t>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566BC6F8"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CE79AB">
        <w:rPr>
          <w:rFonts w:asciiTheme="minorHAnsi" w:hAnsiTheme="minorHAnsi" w:cs="Arial"/>
          <w:lang w:val="en-GB"/>
        </w:rPr>
        <w:tab/>
      </w:r>
      <w:r w:rsidR="00382775">
        <w:rPr>
          <w:rFonts w:asciiTheme="minorHAnsi" w:hAnsiTheme="minorHAnsi" w:cs="Arial"/>
          <w:lang w:val="en-GB"/>
        </w:rPr>
        <w:t>Strategic partnerships and Resource Mobilization</w:t>
      </w:r>
      <w:r w:rsidR="005539A9">
        <w:rPr>
          <w:rFonts w:asciiTheme="minorHAnsi" w:hAnsiTheme="minorHAnsi" w:cs="Arial"/>
          <w:lang w:val="en-GB"/>
        </w:rPr>
        <w:tab/>
      </w:r>
    </w:p>
    <w:p w14:paraId="67D59395" w14:textId="0C07BEAF"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CE79AB">
        <w:rPr>
          <w:rFonts w:asciiTheme="minorHAnsi" w:hAnsiTheme="minorHAnsi" w:cs="Arial"/>
          <w:lang w:val="en-GB"/>
        </w:rPr>
        <w:tab/>
        <w:t xml:space="preserve">Public Partnerships Group/ Partner Portfolio Management </w:t>
      </w:r>
      <w:r w:rsidR="00BF3111">
        <w:rPr>
          <w:rFonts w:asciiTheme="minorHAnsi" w:hAnsiTheme="minorHAnsi" w:cs="Arial"/>
          <w:lang w:val="en-GB"/>
        </w:rPr>
        <w:t xml:space="preserve">(PPM) </w:t>
      </w:r>
      <w:r w:rsidR="00CE79AB">
        <w:rPr>
          <w:rFonts w:asciiTheme="minorHAnsi" w:hAnsiTheme="minorHAnsi" w:cs="Arial"/>
          <w:lang w:val="en-GB"/>
        </w:rPr>
        <w:t>Team</w:t>
      </w:r>
      <w:r w:rsidR="007F5D82" w:rsidRPr="00A13D39">
        <w:rPr>
          <w:rFonts w:asciiTheme="minorHAnsi" w:hAnsiTheme="minorHAnsi" w:cs="Arial"/>
          <w:lang w:val="en-GB"/>
        </w:rPr>
        <w:t xml:space="preserve"> </w:t>
      </w:r>
    </w:p>
    <w:p w14:paraId="6D413E5E" w14:textId="0D5DFDBA"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CE79AB">
        <w:rPr>
          <w:rFonts w:asciiTheme="minorHAnsi" w:hAnsiTheme="minorHAnsi" w:cs="Arial"/>
        </w:rPr>
        <w:tab/>
        <w:t>New York, United States</w:t>
      </w:r>
      <w:r w:rsidR="005539A9">
        <w:rPr>
          <w:rFonts w:asciiTheme="minorHAnsi" w:hAnsiTheme="minorHAnsi" w:cs="Arial"/>
        </w:rPr>
        <w:tab/>
      </w:r>
    </w:p>
    <w:p w14:paraId="078B9725" w14:textId="01E9D83B"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527C42">
        <w:rPr>
          <w:rFonts w:asciiTheme="minorHAnsi" w:hAnsiTheme="minorHAnsi" w:cs="Arial" w:hint="eastAsia"/>
          <w:lang w:val="en-GB" w:eastAsia="zh-CN"/>
        </w:rPr>
        <w:t>9</w:t>
      </w:r>
      <w:r w:rsidR="00CE79AB">
        <w:rPr>
          <w:rFonts w:asciiTheme="minorHAnsi" w:hAnsiTheme="minorHAnsi" w:cs="Arial"/>
          <w:lang w:val="en-GB"/>
        </w:rPr>
        <w:t xml:space="preserve"> </w:t>
      </w:r>
      <w:proofErr w:type="gramStart"/>
      <w:r w:rsidR="00313014" w:rsidRPr="00A13D39">
        <w:rPr>
          <w:rFonts w:asciiTheme="minorHAnsi" w:hAnsiTheme="minorHAnsi" w:cs="Arial"/>
          <w:lang w:val="en-GB"/>
        </w:rPr>
        <w:t>months</w:t>
      </w:r>
      <w:proofErr w:type="gramEnd"/>
    </w:p>
    <w:p w14:paraId="15C313DA" w14:textId="0FB8EBD8"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CE79AB">
        <w:rPr>
          <w:rFonts w:asciiTheme="minorHAnsi" w:hAnsiTheme="minorHAnsi" w:cs="Arial"/>
          <w:lang w:val="en-GB"/>
        </w:rPr>
        <w:tab/>
      </w:r>
      <w:r w:rsidR="00CE79AB">
        <w:rPr>
          <w:rFonts w:asciiTheme="minorHAnsi" w:hAnsiTheme="minorHAnsi" w:cs="Arial"/>
          <w:lang w:val="en-GB"/>
        </w:rPr>
        <w:tab/>
      </w:r>
      <w:r w:rsidR="00FE0E45">
        <w:rPr>
          <w:rFonts w:asciiTheme="minorHAnsi" w:hAnsiTheme="minorHAnsi" w:cs="Arial"/>
          <w:lang w:val="en-GB"/>
        </w:rPr>
        <w:t>TBA</w:t>
      </w:r>
    </w:p>
    <w:p w14:paraId="4A699A6C" w14:textId="262A9B43"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482C81">
        <w:rPr>
          <w:rFonts w:asciiTheme="minorHAnsi" w:hAnsiTheme="minorHAnsi" w:cs="Arial"/>
          <w:lang w:val="en-GB"/>
        </w:rPr>
        <w:t>Janil Greenaway</w:t>
      </w:r>
    </w:p>
    <w:p w14:paraId="440A3199" w14:textId="4C6278E0"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482C81">
        <w:rPr>
          <w:rFonts w:asciiTheme="minorHAnsi" w:hAnsiTheme="minorHAnsi" w:cs="Arial"/>
          <w:lang w:val="en-GB"/>
        </w:rPr>
        <w:tab/>
      </w:r>
      <w:r w:rsidR="00482C81">
        <w:rPr>
          <w:rFonts w:asciiTheme="minorHAnsi" w:hAnsiTheme="minorHAnsi" w:cs="Arial"/>
          <w:lang w:val="en-GB"/>
        </w:rPr>
        <w:tab/>
      </w:r>
      <w:r w:rsidR="00482C81" w:rsidRPr="00482C81">
        <w:rPr>
          <w:rFonts w:asciiTheme="minorHAnsi" w:hAnsiTheme="minorHAnsi" w:cs="Arial"/>
          <w:lang w:val="en-GB"/>
        </w:rPr>
        <w:t>Deputy Director and Team Leader,</w:t>
      </w:r>
      <w:r w:rsidR="00BF3111">
        <w:rPr>
          <w:rFonts w:asciiTheme="minorHAnsi" w:hAnsiTheme="minorHAnsi" w:cs="Arial"/>
          <w:lang w:val="en-GB"/>
        </w:rPr>
        <w:t xml:space="preserve"> PPM,</w:t>
      </w:r>
      <w:r w:rsidR="00482C81" w:rsidRPr="00482C81">
        <w:rPr>
          <w:rFonts w:asciiTheme="minorHAnsi" w:hAnsiTheme="minorHAnsi" w:cs="Arial"/>
          <w:lang w:val="en-GB"/>
        </w:rPr>
        <w:t xml:space="preserve"> Partnership Group</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0E3100E" w14:textId="77777777" w:rsidR="005D28CA" w:rsidRPr="005D28CA" w:rsidRDefault="005D28CA" w:rsidP="005D28CA">
      <w:pPr>
        <w:rPr>
          <w:rFonts w:asciiTheme="minorHAnsi" w:hAnsiTheme="minorHAnsi" w:cs="Arial"/>
        </w:rPr>
      </w:pPr>
      <w:r w:rsidRPr="005D28CA">
        <w:rPr>
          <w:rFonts w:asciiTheme="minorHAnsi" w:hAnsiTheme="minorHAnsi" w:cs="Arial"/>
        </w:rPr>
        <w:t xml:space="preserve">The Bureau of External Relations and Advocacy (BERA) is responsible for UNDP’s external relations and advocacy functions. The Bureau leads and supports the </w:t>
      </w:r>
      <w:proofErr w:type="spellStart"/>
      <w:r w:rsidRPr="005D28CA">
        <w:rPr>
          <w:rFonts w:asciiTheme="minorHAnsi" w:hAnsiTheme="minorHAnsi" w:cs="Arial"/>
        </w:rPr>
        <w:t>organisation</w:t>
      </w:r>
      <w:proofErr w:type="spellEnd"/>
      <w:r w:rsidRPr="005D28CA">
        <w:rPr>
          <w:rFonts w:asciiTheme="minorHAnsi" w:hAnsiTheme="minorHAnsi" w:cs="Arial"/>
        </w:rPr>
        <w:t xml:space="preserve"> in cultivating, </w:t>
      </w:r>
      <w:proofErr w:type="gramStart"/>
      <w:r w:rsidRPr="005D28CA">
        <w:rPr>
          <w:rFonts w:asciiTheme="minorHAnsi" w:hAnsiTheme="minorHAnsi" w:cs="Arial"/>
        </w:rPr>
        <w:t>building</w:t>
      </w:r>
      <w:proofErr w:type="gramEnd"/>
      <w:r w:rsidRPr="005D28CA">
        <w:rPr>
          <w:rFonts w:asciiTheme="minorHAnsi" w:hAnsiTheme="minorHAnsi" w:cs="Arial"/>
        </w:rPr>
        <w:t xml:space="preserve"> and nurturing strategic relationships and alliances that are essential for advancing and successfully achieving the mission of UNDP. These relationships encompass a wide range and number of key constituencies and development partners, that includes </w:t>
      </w:r>
      <w:proofErr w:type="spellStart"/>
      <w:r w:rsidRPr="005D28CA">
        <w:rPr>
          <w:rFonts w:asciiTheme="minorHAnsi" w:hAnsiTheme="minorHAnsi" w:cs="Arial"/>
        </w:rPr>
        <w:t>programme</w:t>
      </w:r>
      <w:proofErr w:type="spellEnd"/>
      <w:r w:rsidRPr="005D28CA">
        <w:rPr>
          <w:rFonts w:asciiTheme="minorHAnsi" w:hAnsiTheme="minorHAnsi" w:cs="Arial"/>
        </w:rPr>
        <w:t xml:space="preserve"> countries, existing and prospective donor countries/emerging economic powers, multilateral institutions such as the IFIs, the European Commission, civil society, the private sector, foundations, academia and think tanks, the wider UN system, various UN inter-governmental bodies, as well as global, </w:t>
      </w:r>
      <w:proofErr w:type="gramStart"/>
      <w:r w:rsidRPr="005D28CA">
        <w:rPr>
          <w:rFonts w:asciiTheme="minorHAnsi" w:hAnsiTheme="minorHAnsi" w:cs="Arial"/>
        </w:rPr>
        <w:t>regional</w:t>
      </w:r>
      <w:proofErr w:type="gramEnd"/>
      <w:r w:rsidRPr="005D28CA">
        <w:rPr>
          <w:rFonts w:asciiTheme="minorHAnsi" w:hAnsiTheme="minorHAnsi" w:cs="Arial"/>
        </w:rPr>
        <w:t xml:space="preserve"> and national media. </w:t>
      </w:r>
    </w:p>
    <w:p w14:paraId="61EBB968" w14:textId="77777777" w:rsidR="005D28CA" w:rsidRPr="005D28CA" w:rsidRDefault="005D28CA" w:rsidP="005D28CA">
      <w:pPr>
        <w:rPr>
          <w:rFonts w:asciiTheme="minorHAnsi" w:hAnsiTheme="minorHAnsi" w:cs="Arial"/>
        </w:rPr>
      </w:pPr>
    </w:p>
    <w:p w14:paraId="6B86CBE5" w14:textId="2B34C032" w:rsidR="00D20CAA" w:rsidRPr="005D28CA" w:rsidRDefault="005D28CA" w:rsidP="005D28CA">
      <w:pPr>
        <w:rPr>
          <w:rFonts w:asciiTheme="minorHAnsi" w:hAnsiTheme="minorHAnsi" w:cs="Arial"/>
        </w:rPr>
      </w:pPr>
      <w:r w:rsidRPr="005D28CA">
        <w:rPr>
          <w:rFonts w:asciiTheme="minorHAnsi" w:hAnsiTheme="minorHAnsi" w:cs="Arial"/>
        </w:rPr>
        <w:t xml:space="preserve">The Bureau of External Relations and Advocacy consists of the Directorate, the Strategy and Innovation Unit, and the following groups: Communications, Partnerships and UN System Affairs. In addition, BERA has 5 Representation Offices in 5 major donor capitals, namely: Brussels, Copenhagen, Geneva, </w:t>
      </w:r>
      <w:proofErr w:type="gramStart"/>
      <w:r w:rsidRPr="005D28CA">
        <w:rPr>
          <w:rFonts w:asciiTheme="minorHAnsi" w:hAnsiTheme="minorHAnsi" w:cs="Arial"/>
        </w:rPr>
        <w:t>Tokyo</w:t>
      </w:r>
      <w:proofErr w:type="gramEnd"/>
      <w:r w:rsidRPr="005D28CA">
        <w:rPr>
          <w:rFonts w:asciiTheme="minorHAnsi" w:hAnsiTheme="minorHAnsi" w:cs="Arial"/>
        </w:rPr>
        <w:t xml:space="preserve"> and Washington.  </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42BF04AF"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D3669F">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242B0502" w14:textId="26289D7D" w:rsidR="007F00C2" w:rsidRPr="00DE0383" w:rsidRDefault="00DE0383" w:rsidP="00DE0383">
            <w:pPr>
              <w:rPr>
                <w:rFonts w:asciiTheme="minorHAnsi" w:hAnsiTheme="minorHAnsi"/>
                <w:lang w:val="en-GB"/>
              </w:rPr>
            </w:pPr>
            <w:r w:rsidRPr="00DE0383">
              <w:rPr>
                <w:rFonts w:asciiTheme="minorHAnsi" w:hAnsiTheme="minorHAnsi"/>
                <w:b/>
                <w:lang w:val="en-GB"/>
              </w:rPr>
              <w:t xml:space="preserve">Support </w:t>
            </w:r>
            <w:r w:rsidR="00496093">
              <w:rPr>
                <w:rFonts w:asciiTheme="minorHAnsi" w:hAnsiTheme="minorHAnsi"/>
                <w:b/>
                <w:lang w:val="en-GB"/>
              </w:rPr>
              <w:t xml:space="preserve">partner </w:t>
            </w:r>
            <w:r w:rsidRPr="00DE0383">
              <w:rPr>
                <w:rFonts w:asciiTheme="minorHAnsi" w:hAnsiTheme="minorHAnsi"/>
                <w:b/>
                <w:lang w:val="en-GB"/>
              </w:rPr>
              <w:t>portfolio analysis</w:t>
            </w:r>
            <w:r w:rsidR="00A46A47">
              <w:rPr>
                <w:rFonts w:asciiTheme="minorHAnsi" w:hAnsiTheme="minorHAnsi"/>
                <w:b/>
                <w:lang w:val="en-GB"/>
              </w:rPr>
              <w:t xml:space="preserve"> in line with a “whole-of-partner” approach</w:t>
            </w:r>
          </w:p>
          <w:p w14:paraId="1982ECBE" w14:textId="04653743" w:rsidR="0058354B" w:rsidRPr="0058354B" w:rsidRDefault="00963832" w:rsidP="0058354B">
            <w:pPr>
              <w:pStyle w:val="ListParagraph"/>
              <w:numPr>
                <w:ilvl w:val="0"/>
                <w:numId w:val="24"/>
              </w:numPr>
              <w:rPr>
                <w:rFonts w:asciiTheme="minorHAnsi" w:hAnsiTheme="minorHAnsi"/>
                <w:lang w:val="en-GB"/>
              </w:rPr>
            </w:pPr>
            <w:r>
              <w:rPr>
                <w:rFonts w:asciiTheme="minorHAnsi" w:hAnsiTheme="minorHAnsi"/>
                <w:lang w:val="en-GB"/>
              </w:rPr>
              <w:t>Undertake research and analysis to s</w:t>
            </w:r>
            <w:r w:rsidR="0058354B" w:rsidRPr="0058354B">
              <w:rPr>
                <w:rFonts w:asciiTheme="minorHAnsi" w:hAnsiTheme="minorHAnsi"/>
                <w:lang w:val="en-GB"/>
              </w:rPr>
              <w:t>upport the development of key donor engagement strategies and action plans.</w:t>
            </w:r>
          </w:p>
          <w:p w14:paraId="4EC0E3EE" w14:textId="3A05C4BB" w:rsidR="0058354B" w:rsidRPr="0058354B" w:rsidRDefault="0058354B" w:rsidP="0058354B">
            <w:pPr>
              <w:pStyle w:val="ListParagraph"/>
              <w:numPr>
                <w:ilvl w:val="0"/>
                <w:numId w:val="24"/>
              </w:numPr>
              <w:rPr>
                <w:rFonts w:asciiTheme="minorHAnsi" w:hAnsiTheme="minorHAnsi"/>
                <w:lang w:val="en-GB"/>
              </w:rPr>
            </w:pPr>
            <w:r w:rsidRPr="0058354B">
              <w:rPr>
                <w:rFonts w:asciiTheme="minorHAnsi" w:hAnsiTheme="minorHAnsi"/>
                <w:lang w:val="en-GB"/>
              </w:rPr>
              <w:lastRenderedPageBreak/>
              <w:t xml:space="preserve">Track and analyse </w:t>
            </w:r>
            <w:r w:rsidR="00CF7F04">
              <w:rPr>
                <w:rFonts w:asciiTheme="minorHAnsi" w:hAnsiTheme="minorHAnsi"/>
                <w:lang w:val="en-GB"/>
              </w:rPr>
              <w:t xml:space="preserve">the evolution of development policy in key donor capitals, </w:t>
            </w:r>
            <w:r w:rsidR="007111F3">
              <w:rPr>
                <w:rFonts w:asciiTheme="minorHAnsi" w:hAnsiTheme="minorHAnsi"/>
                <w:lang w:val="en-GB"/>
              </w:rPr>
              <w:t xml:space="preserve">to help identify implications for </w:t>
            </w:r>
            <w:r w:rsidR="006C7708">
              <w:rPr>
                <w:rFonts w:asciiTheme="minorHAnsi" w:hAnsiTheme="minorHAnsi"/>
                <w:lang w:val="en-GB"/>
              </w:rPr>
              <w:t>donor engagement plans and advise on adjustments</w:t>
            </w:r>
            <w:r w:rsidRPr="0058354B">
              <w:rPr>
                <w:rFonts w:asciiTheme="minorHAnsi" w:hAnsiTheme="minorHAnsi"/>
                <w:lang w:val="en-GB"/>
              </w:rPr>
              <w:t>.</w:t>
            </w:r>
          </w:p>
          <w:p w14:paraId="56C02510" w14:textId="44E78A30" w:rsidR="00F64BAA" w:rsidRPr="0058354B" w:rsidRDefault="004503B8" w:rsidP="0058354B">
            <w:pPr>
              <w:pStyle w:val="ListParagraph"/>
              <w:numPr>
                <w:ilvl w:val="0"/>
                <w:numId w:val="24"/>
              </w:numPr>
              <w:rPr>
                <w:rFonts w:asciiTheme="minorHAnsi" w:hAnsiTheme="minorHAnsi"/>
                <w:lang w:val="en-GB"/>
              </w:rPr>
            </w:pPr>
            <w:r>
              <w:rPr>
                <w:rFonts w:asciiTheme="minorHAnsi" w:hAnsiTheme="minorHAnsi"/>
                <w:lang w:val="en-GB"/>
              </w:rPr>
              <w:t xml:space="preserve">Undertake mapping of </w:t>
            </w:r>
            <w:r w:rsidR="00301214">
              <w:rPr>
                <w:rFonts w:asciiTheme="minorHAnsi" w:hAnsiTheme="minorHAnsi"/>
                <w:lang w:val="en-GB"/>
              </w:rPr>
              <w:t xml:space="preserve">key donor budget lines, </w:t>
            </w:r>
            <w:proofErr w:type="gramStart"/>
            <w:r w:rsidR="00301214">
              <w:rPr>
                <w:rFonts w:asciiTheme="minorHAnsi" w:hAnsiTheme="minorHAnsi"/>
                <w:lang w:val="en-GB"/>
              </w:rPr>
              <w:t>departments</w:t>
            </w:r>
            <w:proofErr w:type="gramEnd"/>
            <w:r w:rsidR="00301214">
              <w:rPr>
                <w:rFonts w:asciiTheme="minorHAnsi" w:hAnsiTheme="minorHAnsi"/>
                <w:lang w:val="en-GB"/>
              </w:rPr>
              <w:t xml:space="preserve"> and units against UNDP </w:t>
            </w:r>
            <w:r w:rsidR="00BC3A2A">
              <w:rPr>
                <w:rFonts w:asciiTheme="minorHAnsi" w:hAnsiTheme="minorHAnsi"/>
                <w:lang w:val="en-GB"/>
              </w:rPr>
              <w:t>priorities</w:t>
            </w:r>
            <w:r w:rsidR="006E0E0A">
              <w:rPr>
                <w:rFonts w:asciiTheme="minorHAnsi" w:hAnsiTheme="minorHAnsi"/>
                <w:lang w:val="en-GB"/>
              </w:rPr>
              <w:t xml:space="preserve">, including </w:t>
            </w:r>
            <w:r w:rsidR="00AC08DD">
              <w:rPr>
                <w:rFonts w:asciiTheme="minorHAnsi" w:hAnsiTheme="minorHAnsi"/>
                <w:lang w:val="en-GB"/>
              </w:rPr>
              <w:t>flagship initiatives and offers.</w:t>
            </w:r>
          </w:p>
        </w:tc>
        <w:tc>
          <w:tcPr>
            <w:tcW w:w="1005" w:type="dxa"/>
          </w:tcPr>
          <w:p w14:paraId="245AC64F" w14:textId="2BA9333E" w:rsidR="00F64BAA" w:rsidRPr="008879AC" w:rsidRDefault="00202A47" w:rsidP="00B65404">
            <w:pPr>
              <w:jc w:val="center"/>
              <w:rPr>
                <w:rFonts w:asciiTheme="minorHAnsi" w:hAnsiTheme="minorHAnsi" w:cs="Arial"/>
                <w:bCs/>
                <w:lang w:val="en-GB"/>
              </w:rPr>
            </w:pPr>
            <w:r w:rsidRPr="008879AC">
              <w:rPr>
                <w:rFonts w:asciiTheme="minorHAnsi" w:hAnsiTheme="minorHAnsi" w:cs="Arial"/>
                <w:bCs/>
                <w:lang w:val="en-GB"/>
              </w:rPr>
              <w:lastRenderedPageBreak/>
              <w:t>50</w:t>
            </w:r>
            <w:r w:rsidR="00F64BAA" w:rsidRPr="008879AC">
              <w:rPr>
                <w:rFonts w:asciiTheme="minorHAnsi" w:hAnsiTheme="minorHAnsi" w:cs="Arial"/>
                <w:bCs/>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5526402B" w14:textId="01AD2D95" w:rsidR="00A1411F" w:rsidRPr="0076585C" w:rsidRDefault="00A1411F" w:rsidP="00A1411F">
            <w:pPr>
              <w:shd w:val="clear" w:color="auto" w:fill="FFFFFF"/>
              <w:rPr>
                <w:rFonts w:asciiTheme="minorHAnsi" w:hAnsiTheme="minorHAnsi"/>
                <w:b/>
                <w:lang w:val="en-GB"/>
              </w:rPr>
            </w:pPr>
            <w:r w:rsidRPr="008E64FB">
              <w:rPr>
                <w:rFonts w:asciiTheme="minorHAnsi" w:hAnsiTheme="minorHAnsi"/>
                <w:b/>
                <w:lang w:val="en-GB"/>
              </w:rPr>
              <w:t xml:space="preserve">Support </w:t>
            </w:r>
            <w:r w:rsidR="00AC5A4C" w:rsidRPr="008879AC">
              <w:rPr>
                <w:rFonts w:asciiTheme="minorHAnsi" w:hAnsiTheme="minorHAnsi"/>
                <w:b/>
                <w:lang w:val="en-GB"/>
              </w:rPr>
              <w:t xml:space="preserve">alignment of partner engagement strategies and plans with </w:t>
            </w:r>
            <w:r w:rsidR="008E64FB" w:rsidRPr="008879AC">
              <w:rPr>
                <w:rFonts w:asciiTheme="minorHAnsi" w:hAnsiTheme="minorHAnsi"/>
                <w:b/>
                <w:lang w:val="en-GB"/>
              </w:rPr>
              <w:t>communications and advocacy campaigns</w:t>
            </w:r>
            <w:r w:rsidRPr="008E64FB">
              <w:rPr>
                <w:rFonts w:asciiTheme="minorHAnsi" w:hAnsiTheme="minorHAnsi"/>
                <w:b/>
                <w:lang w:val="en-GB"/>
              </w:rPr>
              <w:t>.</w:t>
            </w:r>
            <w:r w:rsidRPr="0076585C">
              <w:rPr>
                <w:rFonts w:asciiTheme="minorHAnsi" w:hAnsiTheme="minorHAnsi"/>
                <w:b/>
                <w:lang w:val="en-GB"/>
              </w:rPr>
              <w:t xml:space="preserve">  </w:t>
            </w:r>
          </w:p>
          <w:p w14:paraId="6DDDD214" w14:textId="68943FD0" w:rsidR="00545CE8" w:rsidRDefault="00545CE8" w:rsidP="003D231C">
            <w:pPr>
              <w:pStyle w:val="ListParagraph"/>
              <w:numPr>
                <w:ilvl w:val="0"/>
                <w:numId w:val="19"/>
              </w:numPr>
              <w:rPr>
                <w:rFonts w:asciiTheme="minorHAnsi" w:hAnsiTheme="minorHAnsi"/>
                <w:lang w:val="en-GB"/>
              </w:rPr>
            </w:pPr>
            <w:r>
              <w:rPr>
                <w:rFonts w:asciiTheme="minorHAnsi" w:hAnsiTheme="minorHAnsi"/>
                <w:lang w:val="en-GB"/>
              </w:rPr>
              <w:t>Research best practices and experience of other agencies in bridging partnerships, resource mobilization, communications and advocacy, and related knowledge products.</w:t>
            </w:r>
          </w:p>
          <w:p w14:paraId="723DAE8C" w14:textId="453B0BCB" w:rsidR="00AC08DD" w:rsidRDefault="005F66A4" w:rsidP="003D231C">
            <w:pPr>
              <w:pStyle w:val="ListParagraph"/>
              <w:numPr>
                <w:ilvl w:val="0"/>
                <w:numId w:val="19"/>
              </w:numPr>
              <w:rPr>
                <w:rFonts w:asciiTheme="minorHAnsi" w:hAnsiTheme="minorHAnsi"/>
                <w:lang w:val="en-GB"/>
              </w:rPr>
            </w:pPr>
            <w:r w:rsidRPr="005F66A4">
              <w:rPr>
                <w:rFonts w:asciiTheme="minorHAnsi" w:hAnsiTheme="minorHAnsi"/>
                <w:lang w:val="en-GB"/>
              </w:rPr>
              <w:t xml:space="preserve">Research entry points for engagement of key partners on priority advocacy and communications campaign to support the </w:t>
            </w:r>
            <w:r w:rsidR="00B917E5">
              <w:rPr>
                <w:rFonts w:asciiTheme="minorHAnsi" w:hAnsiTheme="minorHAnsi"/>
                <w:lang w:val="en-GB"/>
              </w:rPr>
              <w:t xml:space="preserve">Partner portfolio </w:t>
            </w:r>
            <w:proofErr w:type="gramStart"/>
            <w:r w:rsidR="00B917E5">
              <w:rPr>
                <w:rFonts w:asciiTheme="minorHAnsi" w:hAnsiTheme="minorHAnsi"/>
                <w:lang w:val="en-GB"/>
              </w:rPr>
              <w:t xml:space="preserve">Management </w:t>
            </w:r>
            <w:r w:rsidRPr="005F66A4">
              <w:rPr>
                <w:rFonts w:asciiTheme="minorHAnsi" w:hAnsiTheme="minorHAnsi"/>
                <w:lang w:val="en-GB"/>
              </w:rPr>
              <w:t xml:space="preserve"> Team’s</w:t>
            </w:r>
            <w:proofErr w:type="gramEnd"/>
            <w:r w:rsidRPr="005F66A4">
              <w:rPr>
                <w:rFonts w:asciiTheme="minorHAnsi" w:hAnsiTheme="minorHAnsi"/>
                <w:lang w:val="en-GB"/>
              </w:rPr>
              <w:t xml:space="preserve"> efforts to more closely align partnerships with advocacy and communications.</w:t>
            </w:r>
          </w:p>
          <w:p w14:paraId="3107A99E" w14:textId="05DFE88D" w:rsidR="00F64BAA" w:rsidRPr="00F20631" w:rsidRDefault="00AF6B4B" w:rsidP="003D231C">
            <w:pPr>
              <w:pStyle w:val="ListParagraph"/>
              <w:numPr>
                <w:ilvl w:val="0"/>
                <w:numId w:val="19"/>
              </w:numPr>
              <w:rPr>
                <w:rFonts w:asciiTheme="minorHAnsi" w:hAnsiTheme="minorHAnsi"/>
                <w:lang w:val="en-GB"/>
              </w:rPr>
            </w:pPr>
            <w:r w:rsidRPr="00545CE8">
              <w:rPr>
                <w:rFonts w:asciiTheme="minorHAnsi" w:hAnsiTheme="minorHAnsi"/>
                <w:lang w:val="en-GB"/>
              </w:rPr>
              <w:t xml:space="preserve">Support the design of tool(s) to </w:t>
            </w:r>
            <w:r w:rsidR="000D0402" w:rsidRPr="00545CE8">
              <w:rPr>
                <w:rFonts w:asciiTheme="minorHAnsi" w:hAnsiTheme="minorHAnsi"/>
                <w:lang w:val="en-GB"/>
              </w:rPr>
              <w:t>streamline communications and advocacy campaigns into partner engagement plans.</w:t>
            </w:r>
          </w:p>
        </w:tc>
        <w:tc>
          <w:tcPr>
            <w:tcW w:w="1005" w:type="dxa"/>
          </w:tcPr>
          <w:p w14:paraId="0E02DEFB" w14:textId="12AC3E8F" w:rsidR="00F64BAA" w:rsidRPr="008879AC" w:rsidRDefault="00E1291B" w:rsidP="00B65404">
            <w:pPr>
              <w:jc w:val="center"/>
              <w:rPr>
                <w:rFonts w:asciiTheme="minorHAnsi" w:hAnsiTheme="minorHAnsi" w:cs="Arial"/>
                <w:bCs/>
                <w:lang w:val="en-GB"/>
              </w:rPr>
            </w:pPr>
            <w:r w:rsidRPr="008879AC">
              <w:rPr>
                <w:rFonts w:asciiTheme="minorHAnsi" w:hAnsiTheme="minorHAnsi" w:cs="Arial"/>
                <w:bCs/>
                <w:lang w:val="en-GB"/>
              </w:rPr>
              <w:t>2</w:t>
            </w:r>
            <w:r w:rsidR="00202A47">
              <w:rPr>
                <w:rFonts w:asciiTheme="minorHAnsi" w:hAnsiTheme="minorHAnsi" w:cs="Arial"/>
                <w:bCs/>
                <w:lang w:val="en-GB"/>
              </w:rPr>
              <w:t>5</w:t>
            </w:r>
            <w:r w:rsidR="00F64BAA" w:rsidRPr="008879AC">
              <w:rPr>
                <w:rFonts w:asciiTheme="minorHAnsi" w:hAnsiTheme="minorHAnsi" w:cs="Arial"/>
                <w:bCs/>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0407B45A" w14:textId="7CAEAB56" w:rsidR="00CB2B48" w:rsidRPr="00CB7199" w:rsidRDefault="00DB54A5" w:rsidP="00CB2B48">
            <w:pPr>
              <w:rPr>
                <w:rFonts w:asciiTheme="minorHAnsi" w:hAnsiTheme="minorHAnsi"/>
                <w:b/>
                <w:lang w:val="en-GB"/>
              </w:rPr>
            </w:pPr>
            <w:r>
              <w:rPr>
                <w:rFonts w:asciiTheme="minorHAnsi" w:hAnsiTheme="minorHAnsi"/>
                <w:b/>
                <w:lang w:val="en-GB"/>
              </w:rPr>
              <w:t>Contribute to the up</w:t>
            </w:r>
            <w:r w:rsidR="0082106F">
              <w:rPr>
                <w:rFonts w:asciiTheme="minorHAnsi" w:hAnsiTheme="minorHAnsi"/>
                <w:b/>
                <w:lang w:val="en-GB"/>
              </w:rPr>
              <w:t>t</w:t>
            </w:r>
            <w:r>
              <w:rPr>
                <w:rFonts w:asciiTheme="minorHAnsi" w:hAnsiTheme="minorHAnsi"/>
                <w:b/>
                <w:lang w:val="en-GB"/>
              </w:rPr>
              <w:t>ake of innovation and new tools for partnerships management</w:t>
            </w:r>
            <w:r w:rsidR="00CB2B48" w:rsidRPr="00CB7199">
              <w:rPr>
                <w:rFonts w:asciiTheme="minorHAnsi" w:hAnsiTheme="minorHAnsi"/>
                <w:b/>
                <w:lang w:val="en-GB"/>
              </w:rPr>
              <w:t>.</w:t>
            </w:r>
          </w:p>
          <w:p w14:paraId="4AC350F1" w14:textId="1EBD318E" w:rsidR="000D0347" w:rsidRDefault="0064749C" w:rsidP="000D0347">
            <w:pPr>
              <w:pStyle w:val="ListParagraph"/>
              <w:numPr>
                <w:ilvl w:val="0"/>
                <w:numId w:val="26"/>
              </w:numPr>
              <w:rPr>
                <w:rFonts w:asciiTheme="minorHAnsi" w:hAnsiTheme="minorHAnsi"/>
                <w:lang w:val="en-GB"/>
              </w:rPr>
            </w:pPr>
            <w:r>
              <w:rPr>
                <w:rFonts w:asciiTheme="minorHAnsi" w:hAnsiTheme="minorHAnsi"/>
                <w:lang w:val="en-GB"/>
              </w:rPr>
              <w:t xml:space="preserve">Identify </w:t>
            </w:r>
            <w:r w:rsidR="00992568">
              <w:rPr>
                <w:rFonts w:asciiTheme="minorHAnsi" w:hAnsiTheme="minorHAnsi"/>
                <w:lang w:val="en-GB"/>
              </w:rPr>
              <w:t xml:space="preserve">multi-media presentation </w:t>
            </w:r>
            <w:r w:rsidR="00953220">
              <w:rPr>
                <w:rFonts w:asciiTheme="minorHAnsi" w:hAnsiTheme="minorHAnsi"/>
                <w:lang w:val="en-GB"/>
              </w:rPr>
              <w:t>tools to help improve the presentation of PPM’s work to key internal audiences</w:t>
            </w:r>
            <w:r w:rsidR="00B30F6A">
              <w:rPr>
                <w:rFonts w:asciiTheme="minorHAnsi" w:hAnsiTheme="minorHAnsi"/>
                <w:lang w:val="en-GB"/>
              </w:rPr>
              <w:t>.</w:t>
            </w:r>
          </w:p>
          <w:p w14:paraId="0F387E28" w14:textId="1BC4D3A3" w:rsidR="0045455E" w:rsidRPr="000D0347" w:rsidRDefault="00945FFB" w:rsidP="000D0347">
            <w:pPr>
              <w:pStyle w:val="ListParagraph"/>
              <w:numPr>
                <w:ilvl w:val="0"/>
                <w:numId w:val="26"/>
              </w:numPr>
              <w:rPr>
                <w:rFonts w:asciiTheme="minorHAnsi" w:hAnsiTheme="minorHAnsi"/>
                <w:lang w:val="en-GB"/>
              </w:rPr>
            </w:pPr>
            <w:r>
              <w:rPr>
                <w:rFonts w:asciiTheme="minorHAnsi" w:hAnsiTheme="minorHAnsi"/>
                <w:lang w:val="en-GB"/>
              </w:rPr>
              <w:t xml:space="preserve">Develop </w:t>
            </w:r>
            <w:r w:rsidR="00D917B3">
              <w:rPr>
                <w:rFonts w:asciiTheme="minorHAnsi" w:hAnsiTheme="minorHAnsi"/>
                <w:lang w:val="en-GB"/>
              </w:rPr>
              <w:t xml:space="preserve">innovative </w:t>
            </w:r>
            <w:r>
              <w:rPr>
                <w:rFonts w:asciiTheme="minorHAnsi" w:hAnsiTheme="minorHAnsi"/>
                <w:lang w:val="en-GB"/>
              </w:rPr>
              <w:t xml:space="preserve">presentation materials </w:t>
            </w:r>
            <w:r w:rsidR="00413A25">
              <w:rPr>
                <w:rFonts w:asciiTheme="minorHAnsi" w:hAnsiTheme="minorHAnsi"/>
                <w:lang w:val="en-GB"/>
              </w:rPr>
              <w:t>th</w:t>
            </w:r>
            <w:r w:rsidR="00331F34">
              <w:rPr>
                <w:rFonts w:asciiTheme="minorHAnsi" w:hAnsiTheme="minorHAnsi"/>
                <w:lang w:val="en-GB"/>
              </w:rPr>
              <w:t>at</w:t>
            </w:r>
            <w:r w:rsidR="00413A25">
              <w:rPr>
                <w:rFonts w:asciiTheme="minorHAnsi" w:hAnsiTheme="minorHAnsi"/>
                <w:lang w:val="en-GB"/>
              </w:rPr>
              <w:t xml:space="preserve"> contribute to knowledge sharing in new and creative ways</w:t>
            </w:r>
            <w:r w:rsidR="00B30F6A">
              <w:rPr>
                <w:rFonts w:asciiTheme="minorHAnsi" w:hAnsiTheme="minorHAnsi"/>
                <w:lang w:val="en-GB"/>
              </w:rPr>
              <w:t>.</w:t>
            </w:r>
          </w:p>
        </w:tc>
        <w:tc>
          <w:tcPr>
            <w:tcW w:w="1005" w:type="dxa"/>
          </w:tcPr>
          <w:p w14:paraId="6328C4F0" w14:textId="1299B1C5" w:rsidR="009502ED" w:rsidRPr="008879AC" w:rsidRDefault="00E1291B" w:rsidP="008879AC">
            <w:pPr>
              <w:ind w:left="256"/>
              <w:rPr>
                <w:rFonts w:asciiTheme="minorHAnsi" w:hAnsiTheme="minorHAnsi"/>
                <w:lang w:val="en-GB"/>
              </w:rPr>
            </w:pPr>
            <w:r w:rsidRPr="008879AC">
              <w:rPr>
                <w:rFonts w:asciiTheme="minorHAnsi" w:hAnsiTheme="minorHAnsi"/>
                <w:lang w:val="en-GB"/>
              </w:rPr>
              <w:t>1</w:t>
            </w:r>
            <w:r w:rsidR="000A2171">
              <w:rPr>
                <w:rFonts w:asciiTheme="minorHAnsi" w:hAnsiTheme="minorHAnsi"/>
                <w:lang w:val="en-GB"/>
              </w:rPr>
              <w:t>5</w:t>
            </w:r>
            <w:r w:rsidR="009502ED" w:rsidRPr="008879AC">
              <w:rPr>
                <w:rFonts w:asciiTheme="minorHAnsi" w:hAnsiTheme="minorHAnsi"/>
                <w:lang w:val="en-GB"/>
              </w:rPr>
              <w:t>%</w:t>
            </w:r>
          </w:p>
        </w:tc>
      </w:tr>
      <w:tr w:rsidR="000D0347" w:rsidRPr="00D91EE0" w14:paraId="72796596" w14:textId="77777777" w:rsidTr="00F71D0D">
        <w:tc>
          <w:tcPr>
            <w:tcW w:w="510" w:type="dxa"/>
          </w:tcPr>
          <w:p w14:paraId="3819CB14" w14:textId="6DA41A58" w:rsidR="000D0347" w:rsidRPr="00D91EE0" w:rsidRDefault="00B30F6A" w:rsidP="00D91EE0">
            <w:pPr>
              <w:rPr>
                <w:rFonts w:asciiTheme="minorHAnsi" w:hAnsiTheme="minorHAnsi"/>
                <w:lang w:val="en-GB"/>
              </w:rPr>
            </w:pPr>
            <w:r>
              <w:rPr>
                <w:rFonts w:asciiTheme="minorHAnsi" w:hAnsiTheme="minorHAnsi"/>
                <w:lang w:val="en-GB"/>
              </w:rPr>
              <w:t>4</w:t>
            </w:r>
          </w:p>
        </w:tc>
        <w:tc>
          <w:tcPr>
            <w:tcW w:w="7310" w:type="dxa"/>
          </w:tcPr>
          <w:p w14:paraId="6740768B" w14:textId="5F298974" w:rsidR="00FD3C91" w:rsidRDefault="003F08B2" w:rsidP="00B30F6A">
            <w:pPr>
              <w:rPr>
                <w:rFonts w:asciiTheme="minorHAnsi" w:hAnsiTheme="minorHAnsi"/>
                <w:b/>
                <w:lang w:val="en-GB"/>
              </w:rPr>
            </w:pPr>
            <w:r>
              <w:rPr>
                <w:rFonts w:asciiTheme="minorHAnsi" w:hAnsiTheme="minorHAnsi"/>
                <w:b/>
                <w:lang w:val="en-GB"/>
              </w:rPr>
              <w:t xml:space="preserve">Develop </w:t>
            </w:r>
            <w:r w:rsidR="006B50B8">
              <w:rPr>
                <w:rFonts w:asciiTheme="minorHAnsi" w:hAnsiTheme="minorHAnsi"/>
                <w:b/>
                <w:lang w:val="en-GB"/>
              </w:rPr>
              <w:t xml:space="preserve">use-friendly </w:t>
            </w:r>
            <w:r w:rsidR="00C375A5">
              <w:rPr>
                <w:rFonts w:asciiTheme="minorHAnsi" w:hAnsiTheme="minorHAnsi"/>
                <w:b/>
                <w:lang w:val="en-GB"/>
              </w:rPr>
              <w:t xml:space="preserve">content </w:t>
            </w:r>
            <w:r w:rsidR="00FD3C91">
              <w:rPr>
                <w:rFonts w:asciiTheme="minorHAnsi" w:hAnsiTheme="minorHAnsi"/>
                <w:b/>
                <w:lang w:val="en-GB"/>
              </w:rPr>
              <w:t>(</w:t>
            </w:r>
            <w:r w:rsidR="009475E8">
              <w:rPr>
                <w:rFonts w:asciiTheme="minorHAnsi" w:hAnsiTheme="minorHAnsi"/>
                <w:b/>
                <w:lang w:val="en-GB"/>
              </w:rPr>
              <w:t>web-based and other media</w:t>
            </w:r>
            <w:r w:rsidR="00FD3C91">
              <w:rPr>
                <w:rFonts w:asciiTheme="minorHAnsi" w:hAnsiTheme="minorHAnsi"/>
                <w:b/>
                <w:lang w:val="en-GB"/>
              </w:rPr>
              <w:t xml:space="preserve">) in line with partner engagement strategies and </w:t>
            </w:r>
            <w:proofErr w:type="gramStart"/>
            <w:r w:rsidR="00FD3C91">
              <w:rPr>
                <w:rFonts w:asciiTheme="minorHAnsi" w:hAnsiTheme="minorHAnsi"/>
                <w:b/>
                <w:lang w:val="en-GB"/>
              </w:rPr>
              <w:t>plan</w:t>
            </w:r>
            <w:proofErr w:type="gramEnd"/>
          </w:p>
          <w:p w14:paraId="5F2B0103" w14:textId="402BF143" w:rsidR="00F90DA4" w:rsidRPr="008879AC" w:rsidRDefault="000412E6" w:rsidP="008879AC">
            <w:pPr>
              <w:pStyle w:val="ListParagraph"/>
              <w:numPr>
                <w:ilvl w:val="0"/>
                <w:numId w:val="33"/>
              </w:numPr>
              <w:shd w:val="clear" w:color="auto" w:fill="FFFFFF"/>
              <w:rPr>
                <w:rFonts w:asciiTheme="minorHAnsi" w:hAnsiTheme="minorHAnsi"/>
                <w:b/>
                <w:lang w:val="en-GB"/>
              </w:rPr>
            </w:pPr>
            <w:r w:rsidRPr="008879AC">
              <w:rPr>
                <w:rFonts w:asciiTheme="minorHAnsi" w:hAnsiTheme="minorHAnsi"/>
                <w:bCs/>
                <w:lang w:val="en-GB"/>
              </w:rPr>
              <w:t xml:space="preserve">Use existing </w:t>
            </w:r>
            <w:r w:rsidR="00EB721A" w:rsidRPr="008879AC">
              <w:rPr>
                <w:rFonts w:asciiTheme="minorHAnsi" w:hAnsiTheme="minorHAnsi"/>
                <w:bCs/>
                <w:lang w:val="en-GB"/>
              </w:rPr>
              <w:t xml:space="preserve">UNDP </w:t>
            </w:r>
            <w:r w:rsidRPr="008879AC">
              <w:rPr>
                <w:rFonts w:asciiTheme="minorHAnsi" w:hAnsiTheme="minorHAnsi"/>
                <w:bCs/>
                <w:lang w:val="en-GB"/>
              </w:rPr>
              <w:t xml:space="preserve">material </w:t>
            </w:r>
            <w:r w:rsidR="00E0735B" w:rsidRPr="008879AC">
              <w:rPr>
                <w:rFonts w:asciiTheme="minorHAnsi" w:hAnsiTheme="minorHAnsi"/>
                <w:bCs/>
                <w:lang w:val="en-GB"/>
              </w:rPr>
              <w:t xml:space="preserve">to develop content </w:t>
            </w:r>
            <w:r w:rsidR="00EB721A" w:rsidRPr="008879AC">
              <w:rPr>
                <w:rFonts w:asciiTheme="minorHAnsi" w:hAnsiTheme="minorHAnsi"/>
                <w:bCs/>
                <w:lang w:val="en-GB"/>
              </w:rPr>
              <w:t xml:space="preserve">for communications purposes </w:t>
            </w:r>
            <w:r w:rsidR="00E0735B" w:rsidRPr="008879AC">
              <w:rPr>
                <w:rFonts w:asciiTheme="minorHAnsi" w:hAnsiTheme="minorHAnsi"/>
                <w:bCs/>
                <w:lang w:val="en-GB"/>
              </w:rPr>
              <w:t xml:space="preserve">in support of partner </w:t>
            </w:r>
            <w:r w:rsidR="00EB721A" w:rsidRPr="00EB721A">
              <w:rPr>
                <w:rFonts w:asciiTheme="minorHAnsi" w:hAnsiTheme="minorHAnsi"/>
                <w:bCs/>
                <w:lang w:val="en-GB"/>
              </w:rPr>
              <w:t>visibility.</w:t>
            </w:r>
          </w:p>
          <w:p w14:paraId="50909661" w14:textId="4E83DBAE" w:rsidR="000D0347" w:rsidRPr="00CB7199" w:rsidRDefault="000D0347" w:rsidP="008879AC">
            <w:pPr>
              <w:rPr>
                <w:rFonts w:cstheme="minorHAnsi"/>
                <w:bCs/>
                <w:sz w:val="22"/>
                <w:szCs w:val="22"/>
              </w:rPr>
            </w:pPr>
          </w:p>
        </w:tc>
        <w:tc>
          <w:tcPr>
            <w:tcW w:w="1005" w:type="dxa"/>
          </w:tcPr>
          <w:p w14:paraId="55E5F874" w14:textId="376ED821" w:rsidR="000D0347" w:rsidRPr="008879AC" w:rsidRDefault="00E1291B" w:rsidP="008879AC">
            <w:pPr>
              <w:ind w:left="256"/>
              <w:rPr>
                <w:rFonts w:asciiTheme="minorHAnsi" w:hAnsiTheme="minorHAnsi"/>
                <w:lang w:val="en-GB"/>
              </w:rPr>
            </w:pPr>
            <w:r w:rsidRPr="008879AC">
              <w:rPr>
                <w:rFonts w:asciiTheme="minorHAnsi" w:hAnsiTheme="minorHAnsi"/>
                <w:lang w:val="en-GB"/>
              </w:rPr>
              <w:t>10</w:t>
            </w:r>
            <w:r w:rsidR="00E90286" w:rsidRPr="008879AC">
              <w:rPr>
                <w:rFonts w:asciiTheme="minorHAnsi" w:hAnsiTheme="minorHAnsi"/>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Default="00201466" w:rsidP="00A601F8">
      <w:pPr>
        <w:rPr>
          <w:rFonts w:asciiTheme="minorHAnsi" w:hAnsiTheme="minorHAnsi" w:cs="Arial"/>
          <w:b/>
          <w:lang w:val="en-GB"/>
        </w:rPr>
      </w:pPr>
    </w:p>
    <w:p w14:paraId="046CE46D" w14:textId="77777777" w:rsidR="0076585C" w:rsidRPr="00201466" w:rsidRDefault="0076585C"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5B4A5155"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106CAE" w:rsidRPr="008822E8">
                <w:rPr>
                  <w:rFonts w:ascii="Calibri" w:hAnsi="Calibri" w:cs="Calibri"/>
                  <w:lang w:val="en-GB"/>
                </w:rPr>
                <w:t>Communications, Graphics Design,</w:t>
              </w:r>
              <w:r w:rsidR="00106CAE">
                <w:rPr>
                  <w:rFonts w:ascii="Calibri" w:hAnsi="Calibri" w:cs="Calibri"/>
                  <w:b/>
                  <w:bCs/>
                  <w:sz w:val="22"/>
                  <w:szCs w:val="22"/>
                  <w:lang w:val="en-GB"/>
                </w:rPr>
                <w:t xml:space="preserve"> </w:t>
              </w:r>
              <w:r w:rsidR="00D73228" w:rsidRPr="00D73228">
                <w:rPr>
                  <w:rFonts w:asciiTheme="minorHAnsi" w:hAnsiTheme="minorHAnsi" w:cstheme="minorHAnsi"/>
                  <w:lang w:val="en-GB"/>
                </w:rPr>
                <w:t>Development</w:t>
              </w:r>
              <w:r w:rsidR="00106CAE">
                <w:rPr>
                  <w:rFonts w:asciiTheme="minorHAnsi" w:hAnsiTheme="minorHAnsi" w:cstheme="minorHAnsi"/>
                  <w:lang w:val="en-GB"/>
                </w:rPr>
                <w:t xml:space="preserve"> Studies</w:t>
              </w:r>
              <w:r w:rsidR="00D73228" w:rsidRPr="00D73228">
                <w:rPr>
                  <w:rFonts w:asciiTheme="minorHAnsi" w:hAnsiTheme="minorHAnsi" w:cstheme="minorHAnsi"/>
                  <w:lang w:val="en-GB"/>
                </w:rPr>
                <w:t xml:space="preserve">, International Relations/Affairs, Social </w:t>
              </w:r>
              <w:r w:rsidR="00055A23">
                <w:rPr>
                  <w:rFonts w:asciiTheme="minorHAnsi" w:hAnsiTheme="minorHAnsi" w:cstheme="minorHAnsi"/>
                  <w:lang w:val="en-GB"/>
                </w:rPr>
                <w:t>S</w:t>
              </w:r>
              <w:r w:rsidR="00D73228" w:rsidRPr="00D73228">
                <w:rPr>
                  <w:rFonts w:asciiTheme="minorHAnsi" w:hAnsiTheme="minorHAnsi" w:cstheme="minorHAnsi"/>
                  <w:lang w:val="en-GB"/>
                </w:rPr>
                <w:t xml:space="preserve">ciences, Economics, </w:t>
              </w:r>
            </w:sdtContent>
          </w:sdt>
        </w:sdtContent>
      </w:sdt>
      <w:r>
        <w:rPr>
          <w:rFonts w:asciiTheme="minorHAnsi" w:hAnsiTheme="minorHAnsi"/>
          <w:lang w:val="en-GB"/>
        </w:rPr>
        <w:t xml:space="preserve"> </w:t>
      </w:r>
      <w:r w:rsidRPr="00224DBF">
        <w:rPr>
          <w:rFonts w:asciiTheme="minorHAnsi" w:hAnsiTheme="minorHAnsi" w:cs="Arial"/>
        </w:rPr>
        <w:t xml:space="preserve">or </w:t>
      </w:r>
      <w:r w:rsidR="00F5260F">
        <w:rPr>
          <w:rFonts w:asciiTheme="minorHAnsi" w:hAnsiTheme="minorHAnsi" w:cs="Arial"/>
        </w:rPr>
        <w:t xml:space="preserve">other related or </w:t>
      </w:r>
      <w:r w:rsidRPr="00224DBF">
        <w:rPr>
          <w:rFonts w:asciiTheme="minorHAnsi" w:hAnsiTheme="minorHAnsi" w:cs="Arial"/>
        </w:rPr>
        <w:t>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0DED6A29" w:rsidR="00D91EE0" w:rsidRDefault="007238A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Handling of web-based management systems</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2E93F9C3" w:rsidR="004300EB" w:rsidRPr="00135960" w:rsidRDefault="00D73228"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42A3BEE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711223">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9C04CF">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63401" w14:textId="77777777" w:rsidR="009C04CF" w:rsidRDefault="009C04CF">
      <w:r>
        <w:separator/>
      </w:r>
    </w:p>
  </w:endnote>
  <w:endnote w:type="continuationSeparator" w:id="0">
    <w:p w14:paraId="06BAA045" w14:textId="77777777" w:rsidR="009C04CF" w:rsidRDefault="009C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215BF" w14:textId="77777777" w:rsidR="009C04CF" w:rsidRDefault="009C04CF">
      <w:r>
        <w:separator/>
      </w:r>
    </w:p>
  </w:footnote>
  <w:footnote w:type="continuationSeparator" w:id="0">
    <w:p w14:paraId="3C6AB161" w14:textId="77777777" w:rsidR="009C04CF" w:rsidRDefault="009C0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0F0DB2"/>
    <w:multiLevelType w:val="hybridMultilevel"/>
    <w:tmpl w:val="4054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5250A4"/>
    <w:multiLevelType w:val="hybridMultilevel"/>
    <w:tmpl w:val="C0F63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8DE42CB"/>
    <w:multiLevelType w:val="hybridMultilevel"/>
    <w:tmpl w:val="714E1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95232F"/>
    <w:multiLevelType w:val="hybridMultilevel"/>
    <w:tmpl w:val="B606A458"/>
    <w:lvl w:ilvl="0" w:tplc="363CF842">
      <w:numFmt w:val="bullet"/>
      <w:lvlText w:val="-"/>
      <w:lvlJc w:val="left"/>
      <w:pPr>
        <w:ind w:left="1080" w:hanging="720"/>
      </w:pPr>
      <w:rPr>
        <w:rFonts w:ascii="Calibri" w:eastAsia="SimSun" w:hAnsi="Calibri" w:cs="Calibri"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511C95"/>
    <w:multiLevelType w:val="hybridMultilevel"/>
    <w:tmpl w:val="6F8EF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0073C5"/>
    <w:multiLevelType w:val="hybridMultilevel"/>
    <w:tmpl w:val="119E5DE6"/>
    <w:lvl w:ilvl="0" w:tplc="75D867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4537F3"/>
    <w:multiLevelType w:val="hybridMultilevel"/>
    <w:tmpl w:val="4C6E81E8"/>
    <w:lvl w:ilvl="0" w:tplc="04090001">
      <w:start w:val="1"/>
      <w:numFmt w:val="bullet"/>
      <w:lvlText w:val=""/>
      <w:lvlJc w:val="left"/>
      <w:pPr>
        <w:ind w:left="720" w:hanging="360"/>
      </w:pPr>
      <w:rPr>
        <w:rFonts w:ascii="Symbol" w:hAnsi="Symbol" w:hint="default"/>
      </w:rPr>
    </w:lvl>
    <w:lvl w:ilvl="1" w:tplc="29863DFC">
      <w:numFmt w:val="bullet"/>
      <w:lvlText w:val="-"/>
      <w:lvlJc w:val="left"/>
      <w:pPr>
        <w:ind w:left="1800" w:hanging="720"/>
      </w:pPr>
      <w:rPr>
        <w:rFonts w:ascii="Calibri" w:eastAsia="SimSu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053E75"/>
    <w:multiLevelType w:val="hybridMultilevel"/>
    <w:tmpl w:val="7C94CE36"/>
    <w:lvl w:ilvl="0" w:tplc="696837D0">
      <w:numFmt w:val="bullet"/>
      <w:lvlText w:val="-"/>
      <w:lvlJc w:val="left"/>
      <w:pPr>
        <w:ind w:left="1080" w:hanging="72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5C0808"/>
    <w:multiLevelType w:val="hybridMultilevel"/>
    <w:tmpl w:val="D65C31C8"/>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60743769">
    <w:abstractNumId w:val="16"/>
  </w:num>
  <w:num w:numId="2" w16cid:durableId="1240750815">
    <w:abstractNumId w:val="23"/>
  </w:num>
  <w:num w:numId="3" w16cid:durableId="1201241147">
    <w:abstractNumId w:val="6"/>
  </w:num>
  <w:num w:numId="4" w16cid:durableId="785930395">
    <w:abstractNumId w:val="13"/>
  </w:num>
  <w:num w:numId="5" w16cid:durableId="327943769">
    <w:abstractNumId w:val="22"/>
  </w:num>
  <w:num w:numId="6" w16cid:durableId="1852451646">
    <w:abstractNumId w:val="20"/>
  </w:num>
  <w:num w:numId="7" w16cid:durableId="1013652084">
    <w:abstractNumId w:val="25"/>
  </w:num>
  <w:num w:numId="8" w16cid:durableId="224146395">
    <w:abstractNumId w:val="10"/>
  </w:num>
  <w:num w:numId="9" w16cid:durableId="626161552">
    <w:abstractNumId w:val="26"/>
  </w:num>
  <w:num w:numId="10" w16cid:durableId="933972534">
    <w:abstractNumId w:val="0"/>
  </w:num>
  <w:num w:numId="11" w16cid:durableId="1466119319">
    <w:abstractNumId w:val="14"/>
  </w:num>
  <w:num w:numId="12" w16cid:durableId="308025253">
    <w:abstractNumId w:val="8"/>
  </w:num>
  <w:num w:numId="13" w16cid:durableId="127361522">
    <w:abstractNumId w:val="24"/>
  </w:num>
  <w:num w:numId="14" w16cid:durableId="1698463471">
    <w:abstractNumId w:val="3"/>
  </w:num>
  <w:num w:numId="15" w16cid:durableId="868876455">
    <w:abstractNumId w:val="21"/>
  </w:num>
  <w:num w:numId="16" w16cid:durableId="891498152">
    <w:abstractNumId w:val="19"/>
  </w:num>
  <w:num w:numId="17" w16cid:durableId="1046103892">
    <w:abstractNumId w:val="5"/>
  </w:num>
  <w:num w:numId="18" w16cid:durableId="1227491505">
    <w:abstractNumId w:val="1"/>
  </w:num>
  <w:num w:numId="19" w16cid:durableId="1068109394">
    <w:abstractNumId w:val="9"/>
  </w:num>
  <w:num w:numId="20" w16cid:durableId="125586594">
    <w:abstractNumId w:val="15"/>
  </w:num>
  <w:num w:numId="21" w16cid:durableId="1422995572">
    <w:abstractNumId w:val="31"/>
  </w:num>
  <w:num w:numId="22" w16cid:durableId="1771700516">
    <w:abstractNumId w:val="17"/>
  </w:num>
  <w:num w:numId="23" w16cid:durableId="1494835075">
    <w:abstractNumId w:val="12"/>
  </w:num>
  <w:num w:numId="24" w16cid:durableId="373192193">
    <w:abstractNumId w:val="28"/>
  </w:num>
  <w:num w:numId="25" w16cid:durableId="411390041">
    <w:abstractNumId w:val="27"/>
  </w:num>
  <w:num w:numId="26" w16cid:durableId="777214083">
    <w:abstractNumId w:val="29"/>
  </w:num>
  <w:num w:numId="27" w16cid:durableId="1802378880">
    <w:abstractNumId w:val="18"/>
  </w:num>
  <w:num w:numId="28" w16cid:durableId="649986732">
    <w:abstractNumId w:val="30"/>
  </w:num>
  <w:num w:numId="29" w16cid:durableId="1537304348">
    <w:abstractNumId w:val="32"/>
  </w:num>
  <w:num w:numId="30" w16cid:durableId="192233012">
    <w:abstractNumId w:val="2"/>
  </w:num>
  <w:num w:numId="31" w16cid:durableId="1415710840">
    <w:abstractNumId w:val="11"/>
  </w:num>
  <w:num w:numId="32" w16cid:durableId="1979189325">
    <w:abstractNumId w:val="7"/>
  </w:num>
  <w:num w:numId="33" w16cid:durableId="3280979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24A7"/>
    <w:rsid w:val="00004AF0"/>
    <w:rsid w:val="00005642"/>
    <w:rsid w:val="000061CF"/>
    <w:rsid w:val="00006902"/>
    <w:rsid w:val="00013BEB"/>
    <w:rsid w:val="00016466"/>
    <w:rsid w:val="00023C49"/>
    <w:rsid w:val="00036CCE"/>
    <w:rsid w:val="000412E6"/>
    <w:rsid w:val="00041B11"/>
    <w:rsid w:val="00041B40"/>
    <w:rsid w:val="00042749"/>
    <w:rsid w:val="000428AD"/>
    <w:rsid w:val="00044965"/>
    <w:rsid w:val="0004693F"/>
    <w:rsid w:val="0004733B"/>
    <w:rsid w:val="00047F23"/>
    <w:rsid w:val="00050DF5"/>
    <w:rsid w:val="00055936"/>
    <w:rsid w:val="00055A23"/>
    <w:rsid w:val="00057250"/>
    <w:rsid w:val="00061F9D"/>
    <w:rsid w:val="0008223F"/>
    <w:rsid w:val="00087C6F"/>
    <w:rsid w:val="00091CCC"/>
    <w:rsid w:val="000977A2"/>
    <w:rsid w:val="00097DE0"/>
    <w:rsid w:val="000A2171"/>
    <w:rsid w:val="000A2976"/>
    <w:rsid w:val="000A4F00"/>
    <w:rsid w:val="000B06AE"/>
    <w:rsid w:val="000B14BC"/>
    <w:rsid w:val="000C0960"/>
    <w:rsid w:val="000C154F"/>
    <w:rsid w:val="000C6554"/>
    <w:rsid w:val="000D0347"/>
    <w:rsid w:val="000D0402"/>
    <w:rsid w:val="000E0F5B"/>
    <w:rsid w:val="000E3765"/>
    <w:rsid w:val="000E392F"/>
    <w:rsid w:val="000E77EC"/>
    <w:rsid w:val="000F1681"/>
    <w:rsid w:val="000F2B84"/>
    <w:rsid w:val="000F396D"/>
    <w:rsid w:val="000F5459"/>
    <w:rsid w:val="000F795F"/>
    <w:rsid w:val="00100EA2"/>
    <w:rsid w:val="00103F1A"/>
    <w:rsid w:val="001040C6"/>
    <w:rsid w:val="00104580"/>
    <w:rsid w:val="00106CAE"/>
    <w:rsid w:val="001102EC"/>
    <w:rsid w:val="00112996"/>
    <w:rsid w:val="0012041B"/>
    <w:rsid w:val="0012220F"/>
    <w:rsid w:val="00122931"/>
    <w:rsid w:val="00124C25"/>
    <w:rsid w:val="00125AFA"/>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2A47"/>
    <w:rsid w:val="002058F8"/>
    <w:rsid w:val="00215B50"/>
    <w:rsid w:val="00217215"/>
    <w:rsid w:val="00224DBF"/>
    <w:rsid w:val="002268B9"/>
    <w:rsid w:val="00227860"/>
    <w:rsid w:val="002300FF"/>
    <w:rsid w:val="00241380"/>
    <w:rsid w:val="002456C7"/>
    <w:rsid w:val="00251C3E"/>
    <w:rsid w:val="00257033"/>
    <w:rsid w:val="00266783"/>
    <w:rsid w:val="002750E4"/>
    <w:rsid w:val="00283201"/>
    <w:rsid w:val="00286831"/>
    <w:rsid w:val="00291269"/>
    <w:rsid w:val="002925E0"/>
    <w:rsid w:val="00292BEC"/>
    <w:rsid w:val="002933D1"/>
    <w:rsid w:val="002A30C7"/>
    <w:rsid w:val="002B56FA"/>
    <w:rsid w:val="002C3741"/>
    <w:rsid w:val="002D3448"/>
    <w:rsid w:val="002D3BF1"/>
    <w:rsid w:val="002D3DD5"/>
    <w:rsid w:val="002E35FC"/>
    <w:rsid w:val="002E4600"/>
    <w:rsid w:val="002E52CA"/>
    <w:rsid w:val="002F02BB"/>
    <w:rsid w:val="002F34B8"/>
    <w:rsid w:val="00301214"/>
    <w:rsid w:val="0030680B"/>
    <w:rsid w:val="00313014"/>
    <w:rsid w:val="00313DDD"/>
    <w:rsid w:val="00314D68"/>
    <w:rsid w:val="00321178"/>
    <w:rsid w:val="00321618"/>
    <w:rsid w:val="0033185A"/>
    <w:rsid w:val="00331F34"/>
    <w:rsid w:val="00342B64"/>
    <w:rsid w:val="003434BF"/>
    <w:rsid w:val="003458F4"/>
    <w:rsid w:val="0035036A"/>
    <w:rsid w:val="00350940"/>
    <w:rsid w:val="003518B1"/>
    <w:rsid w:val="0035256D"/>
    <w:rsid w:val="00356D4E"/>
    <w:rsid w:val="0036528F"/>
    <w:rsid w:val="003668AE"/>
    <w:rsid w:val="0038031E"/>
    <w:rsid w:val="00382775"/>
    <w:rsid w:val="00387DFF"/>
    <w:rsid w:val="00393326"/>
    <w:rsid w:val="00396B3D"/>
    <w:rsid w:val="003A0839"/>
    <w:rsid w:val="003A0D3D"/>
    <w:rsid w:val="003A37DD"/>
    <w:rsid w:val="003A4C14"/>
    <w:rsid w:val="003B1A63"/>
    <w:rsid w:val="003B3743"/>
    <w:rsid w:val="003B54BE"/>
    <w:rsid w:val="003C13CC"/>
    <w:rsid w:val="003C393B"/>
    <w:rsid w:val="003C6AAE"/>
    <w:rsid w:val="003D231C"/>
    <w:rsid w:val="003D52ED"/>
    <w:rsid w:val="003F08B2"/>
    <w:rsid w:val="003F35C2"/>
    <w:rsid w:val="003F47AD"/>
    <w:rsid w:val="00400665"/>
    <w:rsid w:val="004020C9"/>
    <w:rsid w:val="004075BD"/>
    <w:rsid w:val="00413A25"/>
    <w:rsid w:val="00413B1F"/>
    <w:rsid w:val="00414B5C"/>
    <w:rsid w:val="004151A6"/>
    <w:rsid w:val="004219A3"/>
    <w:rsid w:val="0042396C"/>
    <w:rsid w:val="00424687"/>
    <w:rsid w:val="004300EB"/>
    <w:rsid w:val="004312DE"/>
    <w:rsid w:val="00431887"/>
    <w:rsid w:val="00435B34"/>
    <w:rsid w:val="00443590"/>
    <w:rsid w:val="004451E2"/>
    <w:rsid w:val="00445796"/>
    <w:rsid w:val="00446FF5"/>
    <w:rsid w:val="004503B8"/>
    <w:rsid w:val="00450C69"/>
    <w:rsid w:val="00451CA1"/>
    <w:rsid w:val="00453BEC"/>
    <w:rsid w:val="0045455E"/>
    <w:rsid w:val="00462A90"/>
    <w:rsid w:val="0046730B"/>
    <w:rsid w:val="00467F53"/>
    <w:rsid w:val="00482C81"/>
    <w:rsid w:val="0048459C"/>
    <w:rsid w:val="00485875"/>
    <w:rsid w:val="00491CAE"/>
    <w:rsid w:val="0049484C"/>
    <w:rsid w:val="00496093"/>
    <w:rsid w:val="004A2A95"/>
    <w:rsid w:val="004A3FB6"/>
    <w:rsid w:val="004B209F"/>
    <w:rsid w:val="004B596F"/>
    <w:rsid w:val="004C0414"/>
    <w:rsid w:val="004C10BB"/>
    <w:rsid w:val="004C51E2"/>
    <w:rsid w:val="004C58D8"/>
    <w:rsid w:val="004C62BD"/>
    <w:rsid w:val="004D4B98"/>
    <w:rsid w:val="004D6D92"/>
    <w:rsid w:val="004F20A1"/>
    <w:rsid w:val="0050292B"/>
    <w:rsid w:val="00502EDF"/>
    <w:rsid w:val="00503FD8"/>
    <w:rsid w:val="0051361E"/>
    <w:rsid w:val="00517007"/>
    <w:rsid w:val="00527C42"/>
    <w:rsid w:val="005322C6"/>
    <w:rsid w:val="005337BB"/>
    <w:rsid w:val="005367D4"/>
    <w:rsid w:val="00545CE8"/>
    <w:rsid w:val="005539A9"/>
    <w:rsid w:val="005556B7"/>
    <w:rsid w:val="00556BE0"/>
    <w:rsid w:val="0055703D"/>
    <w:rsid w:val="005570B5"/>
    <w:rsid w:val="00567B61"/>
    <w:rsid w:val="00570CF2"/>
    <w:rsid w:val="005747F8"/>
    <w:rsid w:val="0058354B"/>
    <w:rsid w:val="005877B3"/>
    <w:rsid w:val="00590964"/>
    <w:rsid w:val="00591376"/>
    <w:rsid w:val="0059342C"/>
    <w:rsid w:val="0059764D"/>
    <w:rsid w:val="005A4AFC"/>
    <w:rsid w:val="005A5E7C"/>
    <w:rsid w:val="005B5CF3"/>
    <w:rsid w:val="005B6322"/>
    <w:rsid w:val="005C03ED"/>
    <w:rsid w:val="005C2194"/>
    <w:rsid w:val="005D0821"/>
    <w:rsid w:val="005D28CA"/>
    <w:rsid w:val="005D401C"/>
    <w:rsid w:val="005D49B3"/>
    <w:rsid w:val="005D5192"/>
    <w:rsid w:val="005D76C2"/>
    <w:rsid w:val="005E166C"/>
    <w:rsid w:val="005E3BED"/>
    <w:rsid w:val="005F040F"/>
    <w:rsid w:val="005F61A7"/>
    <w:rsid w:val="005F66A4"/>
    <w:rsid w:val="005F6F38"/>
    <w:rsid w:val="00600A17"/>
    <w:rsid w:val="00603B6D"/>
    <w:rsid w:val="00612010"/>
    <w:rsid w:val="00617B12"/>
    <w:rsid w:val="0063282F"/>
    <w:rsid w:val="00632DFE"/>
    <w:rsid w:val="006335BE"/>
    <w:rsid w:val="00636E31"/>
    <w:rsid w:val="00637B72"/>
    <w:rsid w:val="00640A5A"/>
    <w:rsid w:val="00640FD0"/>
    <w:rsid w:val="006412F3"/>
    <w:rsid w:val="00643C96"/>
    <w:rsid w:val="0064749C"/>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50B8"/>
    <w:rsid w:val="006C7708"/>
    <w:rsid w:val="006D036F"/>
    <w:rsid w:val="006D09B4"/>
    <w:rsid w:val="006D4BE3"/>
    <w:rsid w:val="006E0DD7"/>
    <w:rsid w:val="006E0E0A"/>
    <w:rsid w:val="006E4173"/>
    <w:rsid w:val="006E42E7"/>
    <w:rsid w:val="006E4D83"/>
    <w:rsid w:val="00701E85"/>
    <w:rsid w:val="00702C54"/>
    <w:rsid w:val="00703C13"/>
    <w:rsid w:val="0070667B"/>
    <w:rsid w:val="00711075"/>
    <w:rsid w:val="007111F3"/>
    <w:rsid w:val="00711223"/>
    <w:rsid w:val="00721D95"/>
    <w:rsid w:val="007238AB"/>
    <w:rsid w:val="00723D29"/>
    <w:rsid w:val="00741F7F"/>
    <w:rsid w:val="0075041A"/>
    <w:rsid w:val="00751148"/>
    <w:rsid w:val="0075373F"/>
    <w:rsid w:val="00762186"/>
    <w:rsid w:val="0076585C"/>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106F"/>
    <w:rsid w:val="00830760"/>
    <w:rsid w:val="00836073"/>
    <w:rsid w:val="00847E47"/>
    <w:rsid w:val="0085273C"/>
    <w:rsid w:val="008701DD"/>
    <w:rsid w:val="008706CB"/>
    <w:rsid w:val="00873779"/>
    <w:rsid w:val="008812A4"/>
    <w:rsid w:val="008822E8"/>
    <w:rsid w:val="0088255C"/>
    <w:rsid w:val="008866AE"/>
    <w:rsid w:val="008879AC"/>
    <w:rsid w:val="00891155"/>
    <w:rsid w:val="0089453F"/>
    <w:rsid w:val="00895918"/>
    <w:rsid w:val="00897838"/>
    <w:rsid w:val="008A30C9"/>
    <w:rsid w:val="008A589A"/>
    <w:rsid w:val="008B1C6E"/>
    <w:rsid w:val="008B5546"/>
    <w:rsid w:val="008B5807"/>
    <w:rsid w:val="008C75CB"/>
    <w:rsid w:val="008D3DA8"/>
    <w:rsid w:val="008E54BD"/>
    <w:rsid w:val="008E64FB"/>
    <w:rsid w:val="009009F8"/>
    <w:rsid w:val="009029E1"/>
    <w:rsid w:val="00904C18"/>
    <w:rsid w:val="00905FCC"/>
    <w:rsid w:val="009065B2"/>
    <w:rsid w:val="00907452"/>
    <w:rsid w:val="00923134"/>
    <w:rsid w:val="009238B7"/>
    <w:rsid w:val="00923BF4"/>
    <w:rsid w:val="009246E4"/>
    <w:rsid w:val="0092714A"/>
    <w:rsid w:val="00931A7D"/>
    <w:rsid w:val="009330DE"/>
    <w:rsid w:val="009343D5"/>
    <w:rsid w:val="00945FFB"/>
    <w:rsid w:val="009475E8"/>
    <w:rsid w:val="009502ED"/>
    <w:rsid w:val="00953220"/>
    <w:rsid w:val="009546CB"/>
    <w:rsid w:val="0095605D"/>
    <w:rsid w:val="00956C13"/>
    <w:rsid w:val="00963832"/>
    <w:rsid w:val="009701BF"/>
    <w:rsid w:val="009702D6"/>
    <w:rsid w:val="00973F24"/>
    <w:rsid w:val="009847E4"/>
    <w:rsid w:val="00986414"/>
    <w:rsid w:val="009911E3"/>
    <w:rsid w:val="00992568"/>
    <w:rsid w:val="009B52B5"/>
    <w:rsid w:val="009B7E75"/>
    <w:rsid w:val="009C04CF"/>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411F"/>
    <w:rsid w:val="00A1571A"/>
    <w:rsid w:val="00A22A18"/>
    <w:rsid w:val="00A46A47"/>
    <w:rsid w:val="00A47808"/>
    <w:rsid w:val="00A551BB"/>
    <w:rsid w:val="00A56DAF"/>
    <w:rsid w:val="00A601F8"/>
    <w:rsid w:val="00A77C3F"/>
    <w:rsid w:val="00A830FB"/>
    <w:rsid w:val="00A858BC"/>
    <w:rsid w:val="00A85F52"/>
    <w:rsid w:val="00A93F2A"/>
    <w:rsid w:val="00A949F1"/>
    <w:rsid w:val="00A94A91"/>
    <w:rsid w:val="00A95B68"/>
    <w:rsid w:val="00A964CB"/>
    <w:rsid w:val="00AA211C"/>
    <w:rsid w:val="00AC08DD"/>
    <w:rsid w:val="00AC365A"/>
    <w:rsid w:val="00AC4F73"/>
    <w:rsid w:val="00AC5A4C"/>
    <w:rsid w:val="00AE11A7"/>
    <w:rsid w:val="00AE467E"/>
    <w:rsid w:val="00AF4FF8"/>
    <w:rsid w:val="00AF6B4B"/>
    <w:rsid w:val="00AF7369"/>
    <w:rsid w:val="00AF769E"/>
    <w:rsid w:val="00B001DC"/>
    <w:rsid w:val="00B07E49"/>
    <w:rsid w:val="00B12895"/>
    <w:rsid w:val="00B12B04"/>
    <w:rsid w:val="00B151BF"/>
    <w:rsid w:val="00B30F6A"/>
    <w:rsid w:val="00B321D9"/>
    <w:rsid w:val="00B34135"/>
    <w:rsid w:val="00B4054C"/>
    <w:rsid w:val="00B47148"/>
    <w:rsid w:val="00B50560"/>
    <w:rsid w:val="00B50EF3"/>
    <w:rsid w:val="00B529CD"/>
    <w:rsid w:val="00B563C7"/>
    <w:rsid w:val="00B60C9A"/>
    <w:rsid w:val="00B650C5"/>
    <w:rsid w:val="00B708DB"/>
    <w:rsid w:val="00B82569"/>
    <w:rsid w:val="00B90DDF"/>
    <w:rsid w:val="00B917E5"/>
    <w:rsid w:val="00B94616"/>
    <w:rsid w:val="00B96211"/>
    <w:rsid w:val="00B96A0A"/>
    <w:rsid w:val="00B97284"/>
    <w:rsid w:val="00BA08EC"/>
    <w:rsid w:val="00BA1292"/>
    <w:rsid w:val="00BA493E"/>
    <w:rsid w:val="00BB2872"/>
    <w:rsid w:val="00BB3493"/>
    <w:rsid w:val="00BC0924"/>
    <w:rsid w:val="00BC2445"/>
    <w:rsid w:val="00BC3A2A"/>
    <w:rsid w:val="00BC3CD7"/>
    <w:rsid w:val="00BC5AEF"/>
    <w:rsid w:val="00BD20EA"/>
    <w:rsid w:val="00BD5B10"/>
    <w:rsid w:val="00BD69BC"/>
    <w:rsid w:val="00BF3111"/>
    <w:rsid w:val="00C03A19"/>
    <w:rsid w:val="00C06C6D"/>
    <w:rsid w:val="00C128CD"/>
    <w:rsid w:val="00C1384B"/>
    <w:rsid w:val="00C15785"/>
    <w:rsid w:val="00C25886"/>
    <w:rsid w:val="00C262C3"/>
    <w:rsid w:val="00C375A5"/>
    <w:rsid w:val="00C45A09"/>
    <w:rsid w:val="00C51BD8"/>
    <w:rsid w:val="00C61A97"/>
    <w:rsid w:val="00C63661"/>
    <w:rsid w:val="00C6546B"/>
    <w:rsid w:val="00C70BFB"/>
    <w:rsid w:val="00C823C4"/>
    <w:rsid w:val="00C84D3F"/>
    <w:rsid w:val="00C9769A"/>
    <w:rsid w:val="00CA45D2"/>
    <w:rsid w:val="00CA49D1"/>
    <w:rsid w:val="00CA7311"/>
    <w:rsid w:val="00CB2B48"/>
    <w:rsid w:val="00CB6A56"/>
    <w:rsid w:val="00CB7199"/>
    <w:rsid w:val="00CC1514"/>
    <w:rsid w:val="00CD4816"/>
    <w:rsid w:val="00CD4AA2"/>
    <w:rsid w:val="00CE55A0"/>
    <w:rsid w:val="00CE79AB"/>
    <w:rsid w:val="00CF0790"/>
    <w:rsid w:val="00CF0B21"/>
    <w:rsid w:val="00CF4890"/>
    <w:rsid w:val="00CF502D"/>
    <w:rsid w:val="00CF678B"/>
    <w:rsid w:val="00CF6BA2"/>
    <w:rsid w:val="00CF7F04"/>
    <w:rsid w:val="00D00508"/>
    <w:rsid w:val="00D05A80"/>
    <w:rsid w:val="00D06A94"/>
    <w:rsid w:val="00D17E6C"/>
    <w:rsid w:val="00D20CAA"/>
    <w:rsid w:val="00D25299"/>
    <w:rsid w:val="00D254F6"/>
    <w:rsid w:val="00D274D0"/>
    <w:rsid w:val="00D35F0A"/>
    <w:rsid w:val="00D3669F"/>
    <w:rsid w:val="00D412E1"/>
    <w:rsid w:val="00D46638"/>
    <w:rsid w:val="00D522CE"/>
    <w:rsid w:val="00D53E47"/>
    <w:rsid w:val="00D60425"/>
    <w:rsid w:val="00D70AF4"/>
    <w:rsid w:val="00D71594"/>
    <w:rsid w:val="00D73228"/>
    <w:rsid w:val="00D7362D"/>
    <w:rsid w:val="00D80BA0"/>
    <w:rsid w:val="00D81DD1"/>
    <w:rsid w:val="00D826E7"/>
    <w:rsid w:val="00D8576B"/>
    <w:rsid w:val="00D87BB4"/>
    <w:rsid w:val="00D917B3"/>
    <w:rsid w:val="00D91EE0"/>
    <w:rsid w:val="00D94862"/>
    <w:rsid w:val="00D96BD9"/>
    <w:rsid w:val="00DA4AB8"/>
    <w:rsid w:val="00DA6C78"/>
    <w:rsid w:val="00DA7041"/>
    <w:rsid w:val="00DB3FA4"/>
    <w:rsid w:val="00DB4459"/>
    <w:rsid w:val="00DB447E"/>
    <w:rsid w:val="00DB54A5"/>
    <w:rsid w:val="00DB7FAE"/>
    <w:rsid w:val="00DD43D9"/>
    <w:rsid w:val="00DD5D2D"/>
    <w:rsid w:val="00DD637E"/>
    <w:rsid w:val="00DD6FC7"/>
    <w:rsid w:val="00DE0383"/>
    <w:rsid w:val="00DF207F"/>
    <w:rsid w:val="00DF2F25"/>
    <w:rsid w:val="00E0735B"/>
    <w:rsid w:val="00E1291B"/>
    <w:rsid w:val="00E14F46"/>
    <w:rsid w:val="00E21374"/>
    <w:rsid w:val="00E21D22"/>
    <w:rsid w:val="00E21E99"/>
    <w:rsid w:val="00E235B1"/>
    <w:rsid w:val="00E23922"/>
    <w:rsid w:val="00E31C10"/>
    <w:rsid w:val="00E36295"/>
    <w:rsid w:val="00E42C2F"/>
    <w:rsid w:val="00E43801"/>
    <w:rsid w:val="00E539CA"/>
    <w:rsid w:val="00E546F1"/>
    <w:rsid w:val="00E560D4"/>
    <w:rsid w:val="00E56B39"/>
    <w:rsid w:val="00E60ECC"/>
    <w:rsid w:val="00E7290B"/>
    <w:rsid w:val="00E73CCD"/>
    <w:rsid w:val="00E73F0B"/>
    <w:rsid w:val="00E8606F"/>
    <w:rsid w:val="00E87C22"/>
    <w:rsid w:val="00E90286"/>
    <w:rsid w:val="00EA063B"/>
    <w:rsid w:val="00EA0AE9"/>
    <w:rsid w:val="00EA28FF"/>
    <w:rsid w:val="00EB47A2"/>
    <w:rsid w:val="00EB721A"/>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260F"/>
    <w:rsid w:val="00F5317C"/>
    <w:rsid w:val="00F53F2B"/>
    <w:rsid w:val="00F5654C"/>
    <w:rsid w:val="00F629E4"/>
    <w:rsid w:val="00F632CF"/>
    <w:rsid w:val="00F64BAA"/>
    <w:rsid w:val="00F67370"/>
    <w:rsid w:val="00F7154A"/>
    <w:rsid w:val="00F71D0D"/>
    <w:rsid w:val="00F72600"/>
    <w:rsid w:val="00F86B17"/>
    <w:rsid w:val="00F90DA4"/>
    <w:rsid w:val="00F92FA3"/>
    <w:rsid w:val="00F95220"/>
    <w:rsid w:val="00F957A9"/>
    <w:rsid w:val="00F97479"/>
    <w:rsid w:val="00FA0F17"/>
    <w:rsid w:val="00FA6F02"/>
    <w:rsid w:val="00FB2650"/>
    <w:rsid w:val="00FB4036"/>
    <w:rsid w:val="00FB5BA3"/>
    <w:rsid w:val="00FC3BF7"/>
    <w:rsid w:val="00FC4A65"/>
    <w:rsid w:val="00FD3C91"/>
    <w:rsid w:val="00FD44C2"/>
    <w:rsid w:val="00FD5412"/>
    <w:rsid w:val="00FE0E45"/>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apis Bulleted List,Dot pt,F5 List Paragraph,No Spacing1,List Paragraph Char Char Char,Indicator Text,Numbered Para 1,Bullet 1,List Paragraph12,Bullet Points,MAIN CONTENT,List 100s"/>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E70DD"/>
    <w:rsid w:val="006249A7"/>
    <w:rsid w:val="006C2AC3"/>
    <w:rsid w:val="009F12C2"/>
    <w:rsid w:val="00AA14C4"/>
    <w:rsid w:val="00AB5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21622505-8935-43F7-AFB9-A00E23D8D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774</Words>
  <Characters>4417</Characters>
  <Application>Microsoft Office Word</Application>
  <DocSecurity>0</DocSecurity>
  <Lines>36</Lines>
  <Paragraphs>10</Paragraphs>
  <ScaleCrop>false</ScaleCrop>
  <Company>UNDP/IAPSO</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8</cp:revision>
  <dcterms:created xsi:type="dcterms:W3CDTF">2024-02-16T19:21:00Z</dcterms:created>
  <dcterms:modified xsi:type="dcterms:W3CDTF">2024-03-05T09:58:00Z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