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6CD82B74" w14:textId="77777777" w:rsidR="00AF78D3" w:rsidRDefault="00AF78D3"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5B55D8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2E0FDF" w:rsidRPr="002E0FDF">
        <w:rPr>
          <w:rFonts w:asciiTheme="minorHAnsi" w:hAnsiTheme="minorHAnsi" w:cs="Arial"/>
          <w:lang w:val="en-GB"/>
        </w:rPr>
        <w:t>Environmental Sustainability Portfolio</w:t>
      </w:r>
      <w:r w:rsidR="002E0FDF">
        <w:rPr>
          <w:rFonts w:asciiTheme="minorHAnsi" w:hAnsiTheme="minorHAnsi" w:cs="Arial"/>
          <w:lang w:val="en-GB"/>
        </w:rPr>
        <w:t xml:space="preserve"> </w:t>
      </w:r>
      <w:r w:rsidR="0049596E">
        <w:rPr>
          <w:rFonts w:asciiTheme="minorHAnsi" w:hAnsiTheme="minorHAnsi" w:cs="Arial" w:hint="eastAsia"/>
          <w:lang w:val="en-GB" w:eastAsia="zh-CN"/>
        </w:rPr>
        <w:t>Intern</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52838AED" w:rsidR="003F47AD" w:rsidRPr="005539A9" w:rsidRDefault="003F47AD" w:rsidP="00A601F8">
      <w:pPr>
        <w:rPr>
          <w:rFonts w:asciiTheme="minorHAnsi" w:hAnsiTheme="minorHAnsi" w:cs="Arial"/>
        </w:rPr>
      </w:pPr>
      <w:r>
        <w:rPr>
          <w:rFonts w:asciiTheme="minorHAnsi" w:hAnsiTheme="minorHAnsi" w:cs="Arial"/>
          <w:lang w:val="en-GB"/>
        </w:rPr>
        <w:t>Sector of assignment:</w:t>
      </w:r>
      <w:r w:rsidR="002E0FDF">
        <w:rPr>
          <w:rFonts w:asciiTheme="minorHAnsi" w:hAnsiTheme="minorHAnsi" w:cs="Arial"/>
          <w:lang w:val="en-GB"/>
        </w:rPr>
        <w:t xml:space="preserve"> </w:t>
      </w:r>
      <w:r w:rsidR="00F154B9" w:rsidRPr="00F154B9">
        <w:rPr>
          <w:rFonts w:asciiTheme="minorHAnsi" w:hAnsiTheme="minorHAnsi" w:cs="Arial"/>
          <w:lang w:val="en-GB"/>
        </w:rPr>
        <w:t>Environment and Resilience</w:t>
      </w:r>
    </w:p>
    <w:p w14:paraId="67D59395" w14:textId="6361CCF7"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2E0FDF">
        <w:rPr>
          <w:rFonts w:asciiTheme="minorHAnsi" w:hAnsiTheme="minorHAnsi" w:cs="Arial"/>
          <w:lang w:val="en-GB"/>
        </w:rPr>
        <w:t>PER</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6569DB56"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2E0FDF">
        <w:rPr>
          <w:rFonts w:asciiTheme="minorHAnsi" w:hAnsiTheme="minorHAnsi" w:cs="Arial"/>
        </w:rPr>
        <w:t xml:space="preserve"> Lima, Peru</w:t>
      </w:r>
      <w:r w:rsidR="005539A9">
        <w:rPr>
          <w:rFonts w:asciiTheme="minorHAnsi" w:hAnsiTheme="minorHAnsi" w:cs="Arial"/>
        </w:rPr>
        <w:tab/>
      </w:r>
      <w:r w:rsidR="005539A9">
        <w:rPr>
          <w:rFonts w:asciiTheme="minorHAnsi" w:hAnsiTheme="minorHAnsi" w:cs="Arial"/>
        </w:rPr>
        <w:tab/>
      </w:r>
    </w:p>
    <w:p w14:paraId="078B9725" w14:textId="2FF63D36"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2E0FDF">
        <w:rPr>
          <w:rFonts w:asciiTheme="minorHAnsi" w:hAnsiTheme="minorHAnsi" w:cs="Arial"/>
          <w:lang w:val="en-GB"/>
        </w:rPr>
        <w:t xml:space="preserve">6 to </w:t>
      </w:r>
      <w:r w:rsidR="0049596E">
        <w:rPr>
          <w:rFonts w:asciiTheme="minorHAnsi" w:hAnsiTheme="minorHAnsi" w:cs="Arial" w:hint="eastAsia"/>
          <w:lang w:val="en-GB" w:eastAsia="zh-CN"/>
        </w:rPr>
        <w:t>9</w:t>
      </w:r>
      <w:r w:rsidR="002E0FDF">
        <w:rPr>
          <w:rFonts w:asciiTheme="minorHAnsi" w:hAnsiTheme="minorHAnsi" w:cs="Arial"/>
          <w:lang w:val="en-GB"/>
        </w:rPr>
        <w:t xml:space="preserve"> </w:t>
      </w:r>
      <w:proofErr w:type="gramStart"/>
      <w:r w:rsidR="00313014" w:rsidRPr="00A13D39">
        <w:rPr>
          <w:rFonts w:asciiTheme="minorHAnsi" w:hAnsiTheme="minorHAnsi" w:cs="Arial"/>
          <w:lang w:val="en-GB"/>
        </w:rPr>
        <w:t>months</w:t>
      </w:r>
      <w:proofErr w:type="gramEnd"/>
    </w:p>
    <w:p w14:paraId="15C313DA" w14:textId="5B899C88"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2E0FDF">
        <w:rPr>
          <w:rFonts w:asciiTheme="minorHAnsi" w:hAnsiTheme="minorHAnsi" w:cs="Arial"/>
          <w:lang w:val="en-GB"/>
        </w:rPr>
        <w:t xml:space="preserve"> </w:t>
      </w:r>
    </w:p>
    <w:p w14:paraId="4A699A6C" w14:textId="5DC7B5D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2E0FDF">
        <w:rPr>
          <w:rFonts w:asciiTheme="minorHAnsi" w:hAnsiTheme="minorHAnsi" w:cs="Arial"/>
          <w:lang w:val="en-GB"/>
        </w:rPr>
        <w:t xml:space="preserve"> James Leslie</w:t>
      </w:r>
    </w:p>
    <w:p w14:paraId="241A8726" w14:textId="74B787B1" w:rsidR="00617B12"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2E0FDF" w:rsidRPr="002E0FDF">
        <w:rPr>
          <w:rFonts w:asciiTheme="minorHAnsi" w:hAnsiTheme="minorHAnsi" w:cs="Arial"/>
          <w:lang w:val="en-GB"/>
        </w:rPr>
        <w:t>Technical Advisor Ecosystems and Climate Change</w:t>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31E87063" w14:textId="77777777" w:rsidR="007F39F5" w:rsidRPr="002E0FDF" w:rsidRDefault="00F20631" w:rsidP="007F39F5">
      <w:pPr>
        <w:jc w:val="both"/>
        <w:rPr>
          <w:rFonts w:asciiTheme="minorHAnsi" w:hAnsiTheme="minorHAnsi" w:cs="Arial"/>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2E0FDF">
        <w:rPr>
          <w:rFonts w:asciiTheme="minorHAnsi" w:hAnsiTheme="minorHAnsi" w:cs="Arial"/>
        </w:rPr>
        <w:t xml:space="preserve"> </w:t>
      </w:r>
      <w:r w:rsidR="007F39F5" w:rsidRPr="002E0FDF">
        <w:rPr>
          <w:rFonts w:asciiTheme="minorHAnsi" w:hAnsiTheme="minorHAnsi" w:cs="Arial"/>
          <w:lang w:val="en-GB"/>
        </w:rPr>
        <w:t>In September 2015, world leaders adopted the 2030 Agenda for Sustainable Development to end poverty, protect the planet and ensure peace and prosperity for all people. UNDP works to strengthen new frameworks for development, disaster risk reduction and climate change.</w:t>
      </w:r>
    </w:p>
    <w:p w14:paraId="069DBFB0" w14:textId="77777777" w:rsidR="002E0FDF" w:rsidRPr="002E0FDF" w:rsidRDefault="002E0FDF" w:rsidP="002E0FDF">
      <w:pPr>
        <w:jc w:val="both"/>
        <w:rPr>
          <w:rFonts w:asciiTheme="minorHAnsi" w:hAnsiTheme="minorHAnsi" w:cs="Arial"/>
          <w:lang w:val="en-GB"/>
        </w:rPr>
      </w:pPr>
    </w:p>
    <w:p w14:paraId="6CCF84F2" w14:textId="14911FEB" w:rsidR="002E0FDF" w:rsidRPr="002E0FDF" w:rsidRDefault="002E0FDF" w:rsidP="002E0FDF">
      <w:pPr>
        <w:jc w:val="both"/>
        <w:rPr>
          <w:rFonts w:asciiTheme="minorHAnsi" w:hAnsiTheme="minorHAnsi" w:cs="Arial"/>
          <w:lang w:val="en-GB"/>
        </w:rPr>
      </w:pPr>
      <w:r w:rsidRPr="002E0FDF">
        <w:rPr>
          <w:rFonts w:asciiTheme="minorHAnsi" w:hAnsiTheme="minorHAnsi" w:cs="Arial"/>
          <w:lang w:val="en-GB"/>
        </w:rPr>
        <w:t xml:space="preserve">UNDP helps countries establish and share solutions to challenges in three main areas: </w:t>
      </w:r>
      <w:proofErr w:type="spellStart"/>
      <w:proofErr w:type="gramStart"/>
      <w:r w:rsidRPr="002E0FDF">
        <w:rPr>
          <w:rFonts w:asciiTheme="minorHAnsi" w:hAnsiTheme="minorHAnsi" w:cs="Arial"/>
          <w:lang w:val="en-GB"/>
        </w:rPr>
        <w:t>i</w:t>
      </w:r>
      <w:proofErr w:type="spellEnd"/>
      <w:r w:rsidRPr="002E0FDF">
        <w:rPr>
          <w:rFonts w:asciiTheme="minorHAnsi" w:hAnsiTheme="minorHAnsi" w:cs="Arial"/>
          <w:lang w:val="en-GB"/>
        </w:rPr>
        <w:t xml:space="preserve"> )</w:t>
      </w:r>
      <w:proofErr w:type="gramEnd"/>
      <w:r w:rsidRPr="002E0FDF">
        <w:rPr>
          <w:rFonts w:asciiTheme="minorHAnsi" w:hAnsiTheme="minorHAnsi" w:cs="Arial"/>
          <w:lang w:val="en-GB"/>
        </w:rPr>
        <w:t xml:space="preserve"> Sustainable development, ii) Democratic governance and peacekeeping, iii) Climate and disaster resilience. </w:t>
      </w:r>
      <w:r>
        <w:rPr>
          <w:rFonts w:asciiTheme="minorHAnsi" w:hAnsiTheme="minorHAnsi" w:cs="Arial"/>
          <w:lang w:val="en-GB"/>
        </w:rPr>
        <w:t>To</w:t>
      </w:r>
      <w:r w:rsidRPr="002E0FDF">
        <w:rPr>
          <w:rFonts w:asciiTheme="minorHAnsi" w:hAnsiTheme="minorHAnsi" w:cs="Arial"/>
          <w:lang w:val="en-GB"/>
        </w:rPr>
        <w:t xml:space="preserve"> respond to these issues and better focus its resources and expertise to deliver on the 2030 Agenda, UNDP has identified a set of approaches that we call our flagship solutions: </w:t>
      </w:r>
      <w:proofErr w:type="spellStart"/>
      <w:r w:rsidRPr="002E0FDF">
        <w:rPr>
          <w:rFonts w:asciiTheme="minorHAnsi" w:hAnsiTheme="minorHAnsi" w:cs="Arial"/>
          <w:lang w:val="en-GB"/>
        </w:rPr>
        <w:t>i</w:t>
      </w:r>
      <w:proofErr w:type="spellEnd"/>
      <w:r w:rsidRPr="002E0FDF">
        <w:rPr>
          <w:rFonts w:asciiTheme="minorHAnsi" w:hAnsiTheme="minorHAnsi" w:cs="Arial"/>
          <w:lang w:val="en-GB"/>
        </w:rPr>
        <w:t>) Keeping people out of POVERTY, ii) GOVERNANCE for peaceful, just and inclusive societies, iii) Crisis prevention and increasing RESILIENCE, iv) ENVIRONMENT: nature-based solutions for development, v) Clean and affordable ENERGY, vi) GENDER Equality and empowerment of women.</w:t>
      </w:r>
    </w:p>
    <w:p w14:paraId="702C3916" w14:textId="77777777" w:rsidR="002E0FDF" w:rsidRPr="002E0FDF" w:rsidRDefault="002E0FDF" w:rsidP="002E0FDF">
      <w:pPr>
        <w:jc w:val="both"/>
        <w:rPr>
          <w:rFonts w:asciiTheme="minorHAnsi" w:hAnsiTheme="minorHAnsi" w:cs="Arial"/>
          <w:lang w:val="en-GB"/>
        </w:rPr>
      </w:pPr>
    </w:p>
    <w:p w14:paraId="03C98823" w14:textId="0FE2FF3C" w:rsidR="002E0FDF" w:rsidRDefault="002E0FDF" w:rsidP="002E0FDF">
      <w:pPr>
        <w:jc w:val="both"/>
        <w:rPr>
          <w:rFonts w:asciiTheme="minorHAnsi" w:hAnsiTheme="minorHAnsi" w:cs="Arial"/>
          <w:lang w:val="en-GB"/>
        </w:rPr>
      </w:pPr>
      <w:r w:rsidRPr="002E0FDF">
        <w:rPr>
          <w:rFonts w:asciiTheme="minorHAnsi" w:hAnsiTheme="minorHAnsi" w:cs="Arial"/>
          <w:lang w:val="en-GB"/>
        </w:rPr>
        <w:t xml:space="preserve">On the other hand, the UNDP Program promotes creative and robust initiatives that guarantee the environmental sustainability of the country, </w:t>
      </w:r>
      <w:r w:rsidR="007F39F5" w:rsidRPr="002E0FDF">
        <w:rPr>
          <w:rFonts w:asciiTheme="minorHAnsi" w:hAnsiTheme="minorHAnsi" w:cs="Arial"/>
          <w:lang w:val="en-GB"/>
        </w:rPr>
        <w:t>considering</w:t>
      </w:r>
      <w:r w:rsidRPr="002E0FDF">
        <w:rPr>
          <w:rFonts w:asciiTheme="minorHAnsi" w:hAnsiTheme="minorHAnsi" w:cs="Arial"/>
          <w:lang w:val="en-GB"/>
        </w:rPr>
        <w:t xml:space="preserve"> the unique circumstances posed by Peru's development trajectory, as well as its special vulnerability to climate impacts. Recognizes the importance of coupling support for institutional strengthening and improving policy frameworks with technical assistance on the ground.</w:t>
      </w:r>
    </w:p>
    <w:p w14:paraId="54628465" w14:textId="77777777" w:rsidR="002E0FDF" w:rsidRDefault="002E0FDF" w:rsidP="002E0FDF">
      <w:pPr>
        <w:jc w:val="both"/>
        <w:rPr>
          <w:rFonts w:asciiTheme="minorHAnsi" w:hAnsiTheme="minorHAnsi" w:cs="Arial"/>
        </w:rPr>
      </w:pPr>
    </w:p>
    <w:p w14:paraId="746EE0A8" w14:textId="6BA08986" w:rsidR="00201466" w:rsidRDefault="002E0FDF" w:rsidP="00640FD0">
      <w:pPr>
        <w:jc w:val="both"/>
        <w:rPr>
          <w:rFonts w:asciiTheme="minorHAnsi" w:hAnsiTheme="minorHAnsi" w:cs="Arial"/>
        </w:rPr>
      </w:pPr>
      <w:r w:rsidRPr="002E0FDF">
        <w:rPr>
          <w:rFonts w:asciiTheme="minorHAnsi" w:hAnsiTheme="minorHAnsi" w:cs="Arial"/>
        </w:rPr>
        <w:t xml:space="preserve">This integrated approach to advocacy and on-the-ground practice has helped Peru leverage innovative financial flows for additional efforts on climate change adaptation, low-carbon development, and sustainable use and management of natural resources. and the conservation of biodiversity. The Government of Peru considers UNDP as a key partner in its efforts to integrate climate change adaptation and mitigation strategies into its national development policies. Many of UNDP's activities are closely coordinated with other donors. We adopt an integrated approach that links environmental, </w:t>
      </w:r>
      <w:r w:rsidR="007F39F5" w:rsidRPr="002E0FDF">
        <w:rPr>
          <w:rFonts w:asciiTheme="minorHAnsi" w:hAnsiTheme="minorHAnsi" w:cs="Arial"/>
        </w:rPr>
        <w:t>social,</w:t>
      </w:r>
      <w:r w:rsidRPr="002E0FDF">
        <w:rPr>
          <w:rFonts w:asciiTheme="minorHAnsi" w:hAnsiTheme="minorHAnsi" w:cs="Arial"/>
        </w:rPr>
        <w:t xml:space="preserve"> and economic pillars. Our projects are strategically oriented towards 5 thematic areas: climate change, environmental financing, biodiversity, </w:t>
      </w:r>
      <w:r w:rsidR="007F39F5" w:rsidRPr="002E0FDF">
        <w:rPr>
          <w:rFonts w:asciiTheme="minorHAnsi" w:hAnsiTheme="minorHAnsi" w:cs="Arial"/>
        </w:rPr>
        <w:t>desertification,</w:t>
      </w:r>
      <w:r w:rsidRPr="002E0FDF">
        <w:rPr>
          <w:rFonts w:asciiTheme="minorHAnsi" w:hAnsiTheme="minorHAnsi" w:cs="Arial"/>
        </w:rPr>
        <w:t xml:space="preserve"> and environmental quality, which are articulated under a programmatic approach.</w:t>
      </w:r>
    </w:p>
    <w:p w14:paraId="4AE51AAC" w14:textId="77777777" w:rsidR="00187474" w:rsidRDefault="00187474" w:rsidP="00640FD0">
      <w:pPr>
        <w:jc w:val="both"/>
        <w:rPr>
          <w:rFonts w:asciiTheme="minorHAnsi" w:hAnsiTheme="minorHAnsi" w:cs="Arial"/>
        </w:rPr>
      </w:pPr>
    </w:p>
    <w:p w14:paraId="7CA43C3F" w14:textId="36ECA065" w:rsidR="00187474" w:rsidRDefault="00187474" w:rsidP="00640FD0">
      <w:pPr>
        <w:jc w:val="both"/>
        <w:rPr>
          <w:rFonts w:asciiTheme="minorHAnsi" w:hAnsiTheme="minorHAnsi" w:cs="Arial"/>
        </w:rPr>
      </w:pPr>
      <w:r>
        <w:rPr>
          <w:rFonts w:asciiTheme="minorHAnsi" w:hAnsiTheme="minorHAnsi" w:cs="Arial"/>
        </w:rPr>
        <w:t>On the other hand, a</w:t>
      </w:r>
      <w:r w:rsidRPr="00187474">
        <w:rPr>
          <w:rFonts w:asciiTheme="minorHAnsi" w:hAnsiTheme="minorHAnsi" w:cs="Arial"/>
        </w:rPr>
        <w:t xml:space="preserve">s a result of its geography, location and climate variability, Peru faces a variety of potential threats: the El Niño Southern Oscillation, torrential rains, landslides, earthquakes, volcanic eruptions, droughts, cold spells and epidemics. The means of subsistence are under additional threat due to climate change as well as the local degradation of the environment. These factors, along with high levels of vulnerability that characterize the urban and rural populations of Peru, lead to potential disaster scenarios. In this context, UNDP </w:t>
      </w:r>
      <w:r w:rsidRPr="00187474">
        <w:rPr>
          <w:rFonts w:asciiTheme="minorHAnsi" w:hAnsiTheme="minorHAnsi" w:cs="Arial"/>
        </w:rPr>
        <w:lastRenderedPageBreak/>
        <w:t>supports its counterparts in putting in place actions that reduce disaster risks and strengthen capacities for recovery in a disaster situation.</w:t>
      </w:r>
    </w:p>
    <w:p w14:paraId="58FC735F" w14:textId="77777777" w:rsidR="007F39F5" w:rsidRDefault="007F39F5" w:rsidP="00640FD0">
      <w:pPr>
        <w:jc w:val="both"/>
        <w:rPr>
          <w:rFonts w:asciiTheme="minorHAnsi" w:hAnsiTheme="minorHAnsi" w:cs="Arial"/>
        </w:rPr>
      </w:pPr>
    </w:p>
    <w:p w14:paraId="4195DE19" w14:textId="440A3929" w:rsidR="007F39F5" w:rsidRPr="007F39F5" w:rsidRDefault="007F39F5" w:rsidP="00640FD0">
      <w:pPr>
        <w:jc w:val="both"/>
        <w:rPr>
          <w:rFonts w:asciiTheme="minorHAnsi" w:hAnsiTheme="minorHAnsi" w:cs="Arial"/>
        </w:rPr>
      </w:pPr>
      <w:r w:rsidRPr="007F39F5">
        <w:rPr>
          <w:rFonts w:asciiTheme="minorHAnsi" w:hAnsiTheme="minorHAnsi" w:cs="Arial"/>
        </w:rPr>
        <w:t xml:space="preserve">In this framework, to </w:t>
      </w:r>
      <w:r>
        <w:rPr>
          <w:rFonts w:asciiTheme="minorHAnsi" w:hAnsiTheme="minorHAnsi" w:cs="Arial"/>
        </w:rPr>
        <w:t>fulfil</w:t>
      </w:r>
      <w:r w:rsidRPr="007F39F5">
        <w:rPr>
          <w:rFonts w:asciiTheme="minorHAnsi" w:hAnsiTheme="minorHAnsi" w:cs="Arial"/>
        </w:rPr>
        <w:t xml:space="preserve"> the programmatic objectives of the Environmental Sustainability Portfolio</w:t>
      </w:r>
      <w:r w:rsidR="00187474">
        <w:rPr>
          <w:rFonts w:asciiTheme="minorHAnsi" w:hAnsiTheme="minorHAnsi" w:cs="Arial"/>
        </w:rPr>
        <w:t xml:space="preserve"> in the </w:t>
      </w:r>
      <w:r w:rsidR="00F154B9" w:rsidRPr="00F42FDB">
        <w:rPr>
          <w:rFonts w:asciiTheme="minorHAnsi" w:hAnsiTheme="minorHAnsi" w:cs="Arial"/>
        </w:rPr>
        <w:t xml:space="preserve">Environment and Resilience </w:t>
      </w:r>
      <w:r w:rsidR="00187474">
        <w:rPr>
          <w:rFonts w:asciiTheme="minorHAnsi" w:hAnsiTheme="minorHAnsi" w:cs="Arial"/>
        </w:rPr>
        <w:t>segment</w:t>
      </w:r>
      <w:r w:rsidR="00F154B9">
        <w:rPr>
          <w:rFonts w:asciiTheme="minorHAnsi" w:hAnsiTheme="minorHAnsi" w:cs="Arial"/>
        </w:rPr>
        <w:t xml:space="preserve"> (</w:t>
      </w:r>
      <w:r w:rsidR="00F154B9" w:rsidRPr="00F42FDB">
        <w:rPr>
          <w:rFonts w:asciiTheme="minorHAnsi" w:hAnsiTheme="minorHAnsi" w:cs="Arial"/>
        </w:rPr>
        <w:t>including Disaster Risk Management</w:t>
      </w:r>
      <w:r w:rsidR="00F154B9">
        <w:rPr>
          <w:rFonts w:asciiTheme="minorHAnsi" w:hAnsiTheme="minorHAnsi" w:cs="Arial"/>
        </w:rPr>
        <w:t>)</w:t>
      </w:r>
      <w:r w:rsidRPr="007F39F5">
        <w:rPr>
          <w:rFonts w:asciiTheme="minorHAnsi" w:hAnsiTheme="minorHAnsi" w:cs="Arial"/>
        </w:rPr>
        <w:t xml:space="preserve">, </w:t>
      </w:r>
      <w:r>
        <w:rPr>
          <w:rFonts w:asciiTheme="minorHAnsi" w:hAnsiTheme="minorHAnsi" w:cs="Arial"/>
        </w:rPr>
        <w:t>the support of an intern/fellow to the</w:t>
      </w:r>
      <w:r w:rsidRPr="007F39F5">
        <w:rPr>
          <w:rFonts w:asciiTheme="minorHAnsi" w:hAnsiTheme="minorHAnsi" w:cs="Arial"/>
        </w:rPr>
        <w:t xml:space="preserve"> management and technical tasks of the portfolio</w:t>
      </w:r>
      <w:r>
        <w:rPr>
          <w:rFonts w:asciiTheme="minorHAnsi" w:hAnsiTheme="minorHAnsi" w:cs="Arial"/>
        </w:rPr>
        <w:t xml:space="preserve"> would be </w:t>
      </w:r>
      <w:r w:rsidR="00187474">
        <w:rPr>
          <w:rFonts w:asciiTheme="minorHAnsi" w:hAnsiTheme="minorHAnsi" w:cs="Arial"/>
        </w:rPr>
        <w:t>of</w:t>
      </w:r>
      <w:r>
        <w:rPr>
          <w:rFonts w:asciiTheme="minorHAnsi" w:hAnsiTheme="minorHAnsi" w:cs="Arial"/>
        </w:rPr>
        <w:t xml:space="preserve"> </w:t>
      </w:r>
      <w:r w:rsidRPr="007F39F5">
        <w:rPr>
          <w:rFonts w:asciiTheme="minorHAnsi" w:hAnsiTheme="minorHAnsi" w:cs="Arial"/>
        </w:rPr>
        <w:t>great value</w:t>
      </w:r>
      <w:r>
        <w:rPr>
          <w:rFonts w:asciiTheme="minorHAnsi" w:hAnsiTheme="minorHAnsi" w:cs="Arial"/>
        </w:rPr>
        <w:t>.</w:t>
      </w:r>
    </w:p>
    <w:p w14:paraId="56BE63BC" w14:textId="77777777" w:rsidR="00617B12" w:rsidRPr="00187474" w:rsidRDefault="00617B12" w:rsidP="00640FD0">
      <w:pPr>
        <w:jc w:val="both"/>
        <w:rPr>
          <w:rFonts w:asciiTheme="minorHAnsi" w:hAnsiTheme="minorHAnsi" w:cs="Arial"/>
        </w:rPr>
      </w:pPr>
    </w:p>
    <w:p w14:paraId="740E63D0" w14:textId="69402479" w:rsid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7A83EF9C" w14:textId="77777777" w:rsidR="007F39F5" w:rsidRPr="00A13D39" w:rsidRDefault="007F39F5" w:rsidP="00A13D39">
      <w:pPr>
        <w:rPr>
          <w:rFonts w:asciiTheme="minorHAnsi" w:hAnsiTheme="minorHAnsi" w:cs="Arial"/>
          <w:b/>
          <w:lang w:val="en-GB"/>
        </w:rPr>
      </w:pPr>
    </w:p>
    <w:p w14:paraId="62E82FCD"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xml:space="preserve">Peru is known for its stunning landscapes, delicious local cuisine, and lively culture. A wide range of cultural attractions may be found in the city as well. </w:t>
      </w:r>
    </w:p>
    <w:p w14:paraId="007EB068"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Another big lure is the city's thriving culinary culture, which includes restaurants that have won prestigious awards on the world stage. People in Lima are kind and hospitable, so it's not hard to settle in and establish new friends, making it a family-friendly destination. However, Lima's traffic and congestion can make even the simplest trips difficult.</w:t>
      </w:r>
    </w:p>
    <w:p w14:paraId="17422C99" w14:textId="3DB1C858"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xml:space="preserve">• Vaccinations are not needed for entry into the country. To be safe, </w:t>
      </w:r>
      <w:r>
        <w:rPr>
          <w:rFonts w:asciiTheme="minorHAnsi" w:hAnsiTheme="minorHAnsi" w:cs="Arial"/>
          <w:lang w:val="en-GB"/>
        </w:rPr>
        <w:t>travellers</w:t>
      </w:r>
      <w:r w:rsidRPr="007F39F5">
        <w:rPr>
          <w:rFonts w:asciiTheme="minorHAnsi" w:hAnsiTheme="minorHAnsi" w:cs="Arial"/>
          <w:lang w:val="en-GB"/>
        </w:rPr>
        <w:t xml:space="preserve"> should check to see whether they will be passing through any locations where malaria, dengue, or yellow fever are common.</w:t>
      </w:r>
    </w:p>
    <w:p w14:paraId="60B5A081"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The average temperature in Lima is 17 degrees Celsius in August and 24 degrees Celsius in February.</w:t>
      </w:r>
    </w:p>
    <w:p w14:paraId="32DB5FAD"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Private clinics and hospitals in Lima provide access to high-quality medical care provided by trained professionals using the latest medical technology and methods.</w:t>
      </w:r>
    </w:p>
    <w:p w14:paraId="24F233BC"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According to the Security Level system's approach, Lima has a very low security level. In general, violent crime is uncommon there. While in Lima, petty thievery is the most significant safety concern.</w:t>
      </w:r>
    </w:p>
    <w:p w14:paraId="7AB77C80" w14:textId="77777777" w:rsidR="007F39F5" w:rsidRPr="007F39F5" w:rsidRDefault="007F39F5" w:rsidP="007F39F5">
      <w:pPr>
        <w:jc w:val="both"/>
        <w:rPr>
          <w:rFonts w:asciiTheme="minorHAnsi" w:hAnsiTheme="minorHAnsi" w:cs="Arial"/>
          <w:lang w:val="en-GB"/>
        </w:rPr>
      </w:pPr>
      <w:r w:rsidRPr="007F39F5">
        <w:rPr>
          <w:rFonts w:asciiTheme="minorHAnsi" w:hAnsiTheme="minorHAnsi" w:cs="Arial"/>
          <w:lang w:val="en-GB"/>
        </w:rPr>
        <w:t>• It is possible to make a variety of payments in Peru, including wire transfers, interbank transfers, payments via QR codes or digital wallets, and withdrawals from ATMs, which are conveniently located throughout the country.</w:t>
      </w:r>
    </w:p>
    <w:p w14:paraId="13EA6FD1" w14:textId="77777777" w:rsidR="00331CDE" w:rsidRDefault="00331CDE" w:rsidP="00331CDE">
      <w:pPr>
        <w:jc w:val="both"/>
        <w:rPr>
          <w:rFonts w:asciiTheme="minorHAnsi" w:hAnsiTheme="minorHAnsi" w:cs="Arial"/>
          <w:lang w:val="en-GB"/>
        </w:rPr>
      </w:pPr>
      <w:r w:rsidRPr="007F39F5">
        <w:rPr>
          <w:rFonts w:asciiTheme="minorHAnsi" w:hAnsiTheme="minorHAnsi" w:cs="Arial"/>
          <w:lang w:val="en-GB"/>
        </w:rPr>
        <w:t>•  Peru is a country highly exposed to natural disasters, being seismic with several cases of earthquakes and tremors.</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56C02510" w14:textId="2ADF3C45" w:rsidR="00F64BAA" w:rsidRPr="00F42FDB" w:rsidRDefault="007F39F5" w:rsidP="00F42FDB">
            <w:pPr>
              <w:rPr>
                <w:rFonts w:asciiTheme="minorHAnsi" w:hAnsiTheme="minorHAnsi"/>
                <w:lang w:val="en-GB"/>
              </w:rPr>
            </w:pPr>
            <w:r w:rsidRPr="00F42FDB">
              <w:rPr>
                <w:rFonts w:asciiTheme="minorHAnsi" w:hAnsiTheme="minorHAnsi"/>
                <w:lang w:val="en-GB"/>
              </w:rPr>
              <w:t>Support staff working on the environmental sustainability portfolio</w:t>
            </w:r>
            <w:r w:rsidR="00331CDE" w:rsidRPr="00F42FDB">
              <w:rPr>
                <w:rFonts w:asciiTheme="minorHAnsi" w:hAnsiTheme="minorHAnsi"/>
                <w:lang w:val="en-GB"/>
              </w:rPr>
              <w:t xml:space="preserve">, focusing on </w:t>
            </w:r>
            <w:r w:rsidR="00331CDE" w:rsidRPr="00F42FDB">
              <w:rPr>
                <w:rFonts w:asciiTheme="minorHAnsi" w:hAnsiTheme="minorHAnsi" w:cs="Arial"/>
              </w:rPr>
              <w:t xml:space="preserve">the </w:t>
            </w:r>
            <w:r w:rsidR="00545EE1" w:rsidRPr="00F42FDB">
              <w:rPr>
                <w:rFonts w:asciiTheme="minorHAnsi" w:hAnsiTheme="minorHAnsi" w:cs="Arial"/>
              </w:rPr>
              <w:t>Environment</w:t>
            </w:r>
            <w:r w:rsidR="001009C1" w:rsidRPr="00F42FDB">
              <w:rPr>
                <w:rFonts w:asciiTheme="minorHAnsi" w:hAnsiTheme="minorHAnsi" w:cs="Arial"/>
              </w:rPr>
              <w:t xml:space="preserve"> and Resilience</w:t>
            </w:r>
            <w:r w:rsidR="00545EE1" w:rsidRPr="00F42FDB">
              <w:rPr>
                <w:rFonts w:asciiTheme="minorHAnsi" w:hAnsiTheme="minorHAnsi" w:cs="Arial"/>
              </w:rPr>
              <w:t xml:space="preserve"> </w:t>
            </w:r>
            <w:r w:rsidR="00331CDE" w:rsidRPr="00F42FDB">
              <w:rPr>
                <w:rFonts w:asciiTheme="minorHAnsi" w:hAnsiTheme="minorHAnsi" w:cs="Arial"/>
              </w:rPr>
              <w:t>segment</w:t>
            </w:r>
            <w:r w:rsidR="00D143D0" w:rsidRPr="00F42FDB">
              <w:rPr>
                <w:rFonts w:asciiTheme="minorHAnsi" w:hAnsiTheme="minorHAnsi" w:cs="Arial"/>
              </w:rPr>
              <w:t xml:space="preserve"> </w:t>
            </w:r>
            <w:r w:rsidR="001009C1" w:rsidRPr="00F42FDB">
              <w:rPr>
                <w:rFonts w:asciiTheme="minorHAnsi" w:hAnsiTheme="minorHAnsi" w:cs="Arial"/>
              </w:rPr>
              <w:t>(</w:t>
            </w:r>
            <w:r w:rsidR="001E17B3" w:rsidRPr="00F42FDB">
              <w:rPr>
                <w:rFonts w:asciiTheme="minorHAnsi" w:hAnsiTheme="minorHAnsi" w:cs="Arial"/>
              </w:rPr>
              <w:t xml:space="preserve">including </w:t>
            </w:r>
            <w:r w:rsidR="00D143D0" w:rsidRPr="00F42FDB">
              <w:rPr>
                <w:rFonts w:asciiTheme="minorHAnsi" w:hAnsiTheme="minorHAnsi" w:cs="Arial"/>
              </w:rPr>
              <w:t>Disaster Risk Management</w:t>
            </w:r>
            <w:r w:rsidR="001009C1" w:rsidRPr="00F42FDB">
              <w:rPr>
                <w:rFonts w:asciiTheme="minorHAnsi" w:hAnsiTheme="minorHAnsi" w:cs="Arial"/>
              </w:rPr>
              <w:t>)</w:t>
            </w:r>
            <w:r w:rsidR="00331CDE" w:rsidRPr="00F42FDB">
              <w:rPr>
                <w:rFonts w:asciiTheme="minorHAnsi" w:hAnsiTheme="minorHAnsi" w:cs="Arial"/>
              </w:rPr>
              <w:t>,</w:t>
            </w:r>
            <w:r w:rsidRPr="00F42FDB">
              <w:rPr>
                <w:rFonts w:asciiTheme="minorHAnsi" w:hAnsiTheme="minorHAnsi"/>
                <w:lang w:val="en-GB"/>
              </w:rPr>
              <w:t xml:space="preserve"> by contributing to the drafting of concept notes, project documents, annual work plans, terms of reference, and writing minutes.</w:t>
            </w:r>
          </w:p>
        </w:tc>
        <w:tc>
          <w:tcPr>
            <w:tcW w:w="1005" w:type="dxa"/>
          </w:tcPr>
          <w:p w14:paraId="245AC64F" w14:textId="705B4A16" w:rsidR="00F64BAA" w:rsidRPr="001B6350" w:rsidRDefault="007F39F5">
            <w:pPr>
              <w:jc w:val="center"/>
              <w:rPr>
                <w:rFonts w:asciiTheme="minorHAnsi" w:hAnsiTheme="minorHAnsi" w:cs="Arial"/>
                <w:b/>
                <w:lang w:val="en-GB"/>
              </w:rPr>
            </w:pPr>
            <w:r>
              <w:rPr>
                <w:rFonts w:asciiTheme="minorHAnsi" w:hAnsiTheme="minorHAnsi" w:cs="Arial"/>
                <w:b/>
                <w:lang w:val="en-GB"/>
              </w:rPr>
              <w:t>20</w:t>
            </w:r>
            <w:r w:rsidR="00F64BAA" w:rsidRPr="001B6350">
              <w:rPr>
                <w:rFonts w:asciiTheme="minorHAnsi" w:hAnsiTheme="minorHAnsi" w:cs="Arial"/>
                <w:b/>
                <w:lang w:val="en-GB"/>
              </w:rPr>
              <w:t>%</w:t>
            </w:r>
          </w:p>
        </w:tc>
      </w:tr>
      <w:tr w:rsidR="00F64BAA" w:rsidRPr="00A13D39" w14:paraId="1F30E8BA" w14:textId="77777777">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3107A99E" w14:textId="3E03502B" w:rsidR="00F64BAA" w:rsidRPr="007F39F5" w:rsidRDefault="007F39F5" w:rsidP="007F39F5">
            <w:pPr>
              <w:rPr>
                <w:rFonts w:asciiTheme="minorHAnsi" w:hAnsiTheme="minorHAnsi"/>
                <w:b/>
                <w:bCs/>
                <w:lang w:val="en-GB"/>
              </w:rPr>
            </w:pPr>
            <w:r w:rsidRPr="007F39F5">
              <w:rPr>
                <w:rFonts w:asciiTheme="minorHAnsi" w:hAnsiTheme="minorHAnsi"/>
                <w:lang w:val="en-GB"/>
              </w:rPr>
              <w:t>Support in coordination with portfolio partners, projects and/or programs.</w:t>
            </w:r>
          </w:p>
        </w:tc>
        <w:tc>
          <w:tcPr>
            <w:tcW w:w="1005" w:type="dxa"/>
          </w:tcPr>
          <w:p w14:paraId="0E02DEFB" w14:textId="2E3CD3E0" w:rsidR="00F64BAA" w:rsidRPr="001B6350" w:rsidRDefault="007F39F5">
            <w:pPr>
              <w:jc w:val="center"/>
              <w:rPr>
                <w:rFonts w:asciiTheme="minorHAnsi" w:hAnsiTheme="minorHAnsi" w:cs="Arial"/>
                <w:b/>
                <w:lang w:val="en-GB"/>
              </w:rPr>
            </w:pPr>
            <w:r>
              <w:rPr>
                <w:rFonts w:asciiTheme="minorHAnsi" w:hAnsiTheme="minorHAnsi" w:cs="Arial"/>
                <w:b/>
                <w:lang w:val="en-GB"/>
              </w:rPr>
              <w:t>10</w:t>
            </w:r>
            <w:r w:rsidRPr="001B6350">
              <w:rPr>
                <w:rFonts w:asciiTheme="minorHAnsi" w:hAnsiTheme="minorHAnsi" w:cs="Arial"/>
                <w:b/>
                <w:lang w:val="en-GB"/>
              </w:rPr>
              <w:t>%</w:t>
            </w:r>
          </w:p>
        </w:tc>
      </w:tr>
      <w:tr w:rsidR="007F39F5" w:rsidRPr="00A13D39" w14:paraId="6F0BDA00" w14:textId="77777777">
        <w:tc>
          <w:tcPr>
            <w:tcW w:w="510" w:type="dxa"/>
          </w:tcPr>
          <w:p w14:paraId="0D054FBC" w14:textId="78D78CBB" w:rsidR="007F39F5" w:rsidRDefault="007F39F5" w:rsidP="00D91EE0">
            <w:pPr>
              <w:rPr>
                <w:rFonts w:asciiTheme="minorHAnsi" w:hAnsiTheme="minorHAnsi" w:cs="Arial"/>
                <w:lang w:val="en-GB"/>
              </w:rPr>
            </w:pPr>
            <w:r>
              <w:rPr>
                <w:rFonts w:asciiTheme="minorHAnsi" w:hAnsiTheme="minorHAnsi" w:cs="Arial"/>
                <w:lang w:val="en-GB"/>
              </w:rPr>
              <w:t>3</w:t>
            </w:r>
          </w:p>
        </w:tc>
        <w:tc>
          <w:tcPr>
            <w:tcW w:w="7310" w:type="dxa"/>
          </w:tcPr>
          <w:p w14:paraId="1FD0AA4D" w14:textId="7E1A7F15" w:rsidR="007F39F5" w:rsidRPr="007F39F5" w:rsidRDefault="007F39F5" w:rsidP="007F39F5">
            <w:pPr>
              <w:rPr>
                <w:rFonts w:asciiTheme="minorHAnsi" w:hAnsiTheme="minorHAnsi"/>
                <w:lang w:val="en-GB"/>
              </w:rPr>
            </w:pPr>
            <w:r w:rsidRPr="007F39F5">
              <w:rPr>
                <w:rFonts w:asciiTheme="minorHAnsi" w:hAnsiTheme="minorHAnsi"/>
                <w:lang w:val="en-GB"/>
              </w:rPr>
              <w:t>Support with portfolio meetings and help take notes of the discussion and follow-up of agreements.</w:t>
            </w:r>
          </w:p>
        </w:tc>
        <w:tc>
          <w:tcPr>
            <w:tcW w:w="1005" w:type="dxa"/>
          </w:tcPr>
          <w:p w14:paraId="23221EFF" w14:textId="7F8DCE78" w:rsidR="007F39F5" w:rsidRPr="001B6350" w:rsidRDefault="007F39F5">
            <w:pPr>
              <w:jc w:val="center"/>
              <w:rPr>
                <w:rFonts w:asciiTheme="minorHAnsi" w:hAnsiTheme="minorHAnsi" w:cs="Arial"/>
                <w:b/>
                <w:lang w:val="en-GB"/>
              </w:rPr>
            </w:pPr>
            <w:r>
              <w:rPr>
                <w:rFonts w:asciiTheme="minorHAnsi" w:hAnsiTheme="minorHAnsi" w:cs="Arial"/>
                <w:b/>
                <w:lang w:val="en-GB"/>
              </w:rPr>
              <w:t>15</w:t>
            </w:r>
            <w:r w:rsidRPr="001B6350">
              <w:rPr>
                <w:rFonts w:asciiTheme="minorHAnsi" w:hAnsiTheme="minorHAnsi" w:cs="Arial"/>
                <w:b/>
                <w:lang w:val="en-GB"/>
              </w:rPr>
              <w:t>%</w:t>
            </w:r>
          </w:p>
        </w:tc>
      </w:tr>
      <w:tr w:rsidR="007F39F5" w:rsidRPr="00A13D39" w14:paraId="0CD2A523" w14:textId="77777777">
        <w:tc>
          <w:tcPr>
            <w:tcW w:w="510" w:type="dxa"/>
          </w:tcPr>
          <w:p w14:paraId="536157C3" w14:textId="003EDA0C" w:rsidR="007F39F5" w:rsidRDefault="007F39F5" w:rsidP="00D91EE0">
            <w:pPr>
              <w:rPr>
                <w:rFonts w:asciiTheme="minorHAnsi" w:hAnsiTheme="minorHAnsi" w:cs="Arial"/>
                <w:lang w:val="en-GB"/>
              </w:rPr>
            </w:pPr>
            <w:r>
              <w:rPr>
                <w:rFonts w:asciiTheme="minorHAnsi" w:hAnsiTheme="minorHAnsi" w:cs="Arial"/>
                <w:lang w:val="en-GB"/>
              </w:rPr>
              <w:t>4</w:t>
            </w:r>
          </w:p>
        </w:tc>
        <w:tc>
          <w:tcPr>
            <w:tcW w:w="7310" w:type="dxa"/>
          </w:tcPr>
          <w:p w14:paraId="5870B159" w14:textId="40212D3A" w:rsidR="007F39F5" w:rsidRPr="007F39F5" w:rsidRDefault="007F39F5" w:rsidP="007F39F5">
            <w:pPr>
              <w:rPr>
                <w:rFonts w:asciiTheme="minorHAnsi" w:hAnsiTheme="minorHAnsi"/>
                <w:lang w:val="en-GB"/>
              </w:rPr>
            </w:pPr>
            <w:r w:rsidRPr="007F39F5">
              <w:rPr>
                <w:rFonts w:asciiTheme="minorHAnsi" w:hAnsiTheme="minorHAnsi"/>
                <w:lang w:val="en-GB"/>
              </w:rPr>
              <w:t>Support with analytical work as indicated.</w:t>
            </w:r>
          </w:p>
        </w:tc>
        <w:tc>
          <w:tcPr>
            <w:tcW w:w="1005" w:type="dxa"/>
          </w:tcPr>
          <w:p w14:paraId="7650978B" w14:textId="46354FCB" w:rsidR="007F39F5" w:rsidRPr="001B6350" w:rsidRDefault="007F39F5">
            <w:pPr>
              <w:jc w:val="center"/>
              <w:rPr>
                <w:rFonts w:asciiTheme="minorHAnsi" w:hAnsiTheme="minorHAnsi" w:cs="Arial"/>
                <w:b/>
                <w:lang w:val="en-GB"/>
              </w:rPr>
            </w:pPr>
            <w:r>
              <w:rPr>
                <w:rFonts w:asciiTheme="minorHAnsi" w:hAnsiTheme="minorHAnsi" w:cs="Arial"/>
                <w:b/>
                <w:lang w:val="en-GB"/>
              </w:rPr>
              <w:t>15</w:t>
            </w:r>
            <w:r w:rsidRPr="001B6350">
              <w:rPr>
                <w:rFonts w:asciiTheme="minorHAnsi" w:hAnsiTheme="minorHAnsi" w:cs="Arial"/>
                <w:b/>
                <w:lang w:val="en-GB"/>
              </w:rPr>
              <w:t>%</w:t>
            </w:r>
          </w:p>
        </w:tc>
      </w:tr>
      <w:tr w:rsidR="007F39F5" w:rsidRPr="00A13D39" w14:paraId="0B79AF02" w14:textId="77777777">
        <w:tc>
          <w:tcPr>
            <w:tcW w:w="510" w:type="dxa"/>
          </w:tcPr>
          <w:p w14:paraId="30E552BA" w14:textId="063FB86F" w:rsidR="007F39F5" w:rsidRDefault="007F39F5" w:rsidP="00D91EE0">
            <w:pPr>
              <w:rPr>
                <w:rFonts w:asciiTheme="minorHAnsi" w:hAnsiTheme="minorHAnsi" w:cs="Arial"/>
                <w:lang w:val="en-GB"/>
              </w:rPr>
            </w:pPr>
            <w:r>
              <w:rPr>
                <w:rFonts w:asciiTheme="minorHAnsi" w:hAnsiTheme="minorHAnsi" w:cs="Arial"/>
                <w:lang w:val="en-GB"/>
              </w:rPr>
              <w:t>5</w:t>
            </w:r>
          </w:p>
        </w:tc>
        <w:tc>
          <w:tcPr>
            <w:tcW w:w="7310" w:type="dxa"/>
          </w:tcPr>
          <w:p w14:paraId="68A3891A" w14:textId="59B56E66" w:rsidR="007F39F5" w:rsidRPr="007F39F5" w:rsidRDefault="007F39F5" w:rsidP="007F39F5">
            <w:pPr>
              <w:rPr>
                <w:rFonts w:asciiTheme="minorHAnsi" w:hAnsiTheme="minorHAnsi"/>
                <w:lang w:val="en-GB"/>
              </w:rPr>
            </w:pPr>
            <w:r w:rsidRPr="007F39F5">
              <w:rPr>
                <w:rFonts w:asciiTheme="minorHAnsi" w:hAnsiTheme="minorHAnsi"/>
                <w:lang w:val="en-GB"/>
              </w:rPr>
              <w:t>Provide support to the team, in monitoring the results of the portfolio to facilitate the presentation of reports (technical and financial).</w:t>
            </w:r>
          </w:p>
        </w:tc>
        <w:tc>
          <w:tcPr>
            <w:tcW w:w="1005" w:type="dxa"/>
          </w:tcPr>
          <w:p w14:paraId="64CF9AFC" w14:textId="31154EDA" w:rsidR="007F39F5" w:rsidRPr="001B6350" w:rsidRDefault="007F39F5">
            <w:pPr>
              <w:jc w:val="center"/>
              <w:rPr>
                <w:rFonts w:asciiTheme="minorHAnsi" w:hAnsiTheme="minorHAnsi" w:cs="Arial"/>
                <w:b/>
                <w:lang w:val="en-GB"/>
              </w:rPr>
            </w:pPr>
            <w:r>
              <w:rPr>
                <w:rFonts w:asciiTheme="minorHAnsi" w:hAnsiTheme="minorHAnsi" w:cs="Arial"/>
                <w:b/>
                <w:lang w:val="en-GB"/>
              </w:rPr>
              <w:t>15</w:t>
            </w:r>
            <w:r w:rsidRPr="001B6350">
              <w:rPr>
                <w:rFonts w:asciiTheme="minorHAnsi" w:hAnsiTheme="minorHAnsi" w:cs="Arial"/>
                <w:b/>
                <w:lang w:val="en-GB"/>
              </w:rPr>
              <w:t>%</w:t>
            </w:r>
          </w:p>
        </w:tc>
      </w:tr>
      <w:tr w:rsidR="007F39F5" w:rsidRPr="00A13D39" w14:paraId="51B7058C" w14:textId="77777777">
        <w:tc>
          <w:tcPr>
            <w:tcW w:w="510" w:type="dxa"/>
          </w:tcPr>
          <w:p w14:paraId="1270229A" w14:textId="55932509" w:rsidR="007F39F5" w:rsidRDefault="007F39F5" w:rsidP="00D91EE0">
            <w:pPr>
              <w:rPr>
                <w:rFonts w:asciiTheme="minorHAnsi" w:hAnsiTheme="minorHAnsi" w:cs="Arial"/>
                <w:lang w:val="en-GB"/>
              </w:rPr>
            </w:pPr>
            <w:r>
              <w:rPr>
                <w:rFonts w:asciiTheme="minorHAnsi" w:hAnsiTheme="minorHAnsi" w:cs="Arial"/>
                <w:lang w:val="en-GB"/>
              </w:rPr>
              <w:t>6</w:t>
            </w:r>
          </w:p>
        </w:tc>
        <w:tc>
          <w:tcPr>
            <w:tcW w:w="7310" w:type="dxa"/>
          </w:tcPr>
          <w:p w14:paraId="72EC2BD5" w14:textId="74E813C4" w:rsidR="007F39F5" w:rsidRPr="007F39F5" w:rsidRDefault="007F39F5" w:rsidP="00331CDE">
            <w:pPr>
              <w:jc w:val="both"/>
              <w:rPr>
                <w:rFonts w:asciiTheme="minorHAnsi" w:hAnsiTheme="minorHAnsi"/>
                <w:lang w:val="en-GB"/>
              </w:rPr>
            </w:pPr>
            <w:r w:rsidRPr="007F39F5">
              <w:rPr>
                <w:rFonts w:asciiTheme="minorHAnsi" w:hAnsiTheme="minorHAnsi"/>
                <w:lang w:val="en-GB"/>
              </w:rPr>
              <w:t xml:space="preserve">Provide support to the </w:t>
            </w:r>
            <w:r w:rsidR="00331CDE" w:rsidRPr="00331CDE">
              <w:rPr>
                <w:rFonts w:asciiTheme="minorHAnsi" w:hAnsiTheme="minorHAnsi"/>
                <w:lang w:val="en-GB"/>
              </w:rPr>
              <w:t>Technical Advisor Ecosystems and Climate Change</w:t>
            </w:r>
            <w:r w:rsidR="00331CDE">
              <w:rPr>
                <w:rFonts w:asciiTheme="minorHAnsi" w:hAnsiTheme="minorHAnsi"/>
                <w:lang w:val="en-GB"/>
              </w:rPr>
              <w:t xml:space="preserve">, the </w:t>
            </w:r>
            <w:r w:rsidRPr="007F39F5">
              <w:rPr>
                <w:rFonts w:asciiTheme="minorHAnsi" w:hAnsiTheme="minorHAnsi"/>
                <w:lang w:val="en-GB"/>
              </w:rPr>
              <w:t xml:space="preserve">Environmental Sustainability Program </w:t>
            </w:r>
            <w:r w:rsidR="00331CDE" w:rsidRPr="007F39F5">
              <w:rPr>
                <w:rFonts w:asciiTheme="minorHAnsi" w:hAnsiTheme="minorHAnsi"/>
                <w:lang w:val="en-GB"/>
              </w:rPr>
              <w:t>Officer,</w:t>
            </w:r>
            <w:r w:rsidRPr="007F39F5">
              <w:rPr>
                <w:rFonts w:asciiTheme="minorHAnsi" w:hAnsiTheme="minorHAnsi"/>
                <w:lang w:val="en-GB"/>
              </w:rPr>
              <w:t xml:space="preserve"> and members of the environmental sustainability portfolio in the preparation of documentation and virtual portfolio processes</w:t>
            </w:r>
            <w:r w:rsidR="00331CDE">
              <w:rPr>
                <w:rFonts w:asciiTheme="minorHAnsi" w:hAnsiTheme="minorHAnsi"/>
                <w:lang w:val="en-GB"/>
              </w:rPr>
              <w:t>.</w:t>
            </w:r>
          </w:p>
        </w:tc>
        <w:tc>
          <w:tcPr>
            <w:tcW w:w="1005" w:type="dxa"/>
          </w:tcPr>
          <w:p w14:paraId="695A8BED" w14:textId="5F17CCFC" w:rsidR="007F39F5" w:rsidRPr="001B6350" w:rsidRDefault="007F39F5">
            <w:pPr>
              <w:jc w:val="center"/>
              <w:rPr>
                <w:rFonts w:asciiTheme="minorHAnsi" w:hAnsiTheme="minorHAnsi" w:cs="Arial"/>
                <w:b/>
                <w:lang w:val="en-GB"/>
              </w:rPr>
            </w:pPr>
            <w:r>
              <w:rPr>
                <w:rFonts w:asciiTheme="minorHAnsi" w:hAnsiTheme="minorHAnsi" w:cs="Arial"/>
                <w:b/>
                <w:lang w:val="en-GB"/>
              </w:rPr>
              <w:t>15</w:t>
            </w:r>
            <w:r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780F19F9" w:rsidR="0045455E" w:rsidRPr="00D91EE0" w:rsidRDefault="007F39F5" w:rsidP="00D91EE0">
            <w:pPr>
              <w:rPr>
                <w:rFonts w:asciiTheme="minorHAnsi" w:hAnsiTheme="minorHAnsi"/>
                <w:lang w:val="en-GB"/>
              </w:rPr>
            </w:pPr>
            <w:r>
              <w:rPr>
                <w:rFonts w:asciiTheme="minorHAnsi" w:hAnsiTheme="minorHAnsi"/>
                <w:lang w:val="en-GB"/>
              </w:rPr>
              <w:t>8</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5BD5EE55" w:rsidR="009502ED" w:rsidRPr="007F39F5" w:rsidRDefault="007F39F5" w:rsidP="007F39F5">
            <w:pPr>
              <w:jc w:val="center"/>
              <w:rPr>
                <w:rFonts w:asciiTheme="minorHAnsi" w:hAnsiTheme="minorHAnsi" w:cs="Arial"/>
                <w:b/>
                <w:lang w:val="en-GB"/>
              </w:rPr>
            </w:pPr>
            <w:r>
              <w:rPr>
                <w:rFonts w:asciiTheme="minorHAnsi" w:hAnsiTheme="minorHAnsi" w:cs="Arial"/>
                <w:b/>
                <w:lang w:val="en-GB"/>
              </w:rPr>
              <w:t>10</w:t>
            </w:r>
            <w:r w:rsidRPr="001B6350">
              <w:rPr>
                <w:rFonts w:asciiTheme="minorHAnsi" w:hAnsiTheme="minorHAnsi" w:cs="Arial"/>
                <w:b/>
                <w:lang w:val="en-GB"/>
              </w:rPr>
              <w:t>%</w:t>
            </w:r>
          </w:p>
        </w:tc>
      </w:tr>
    </w:tbl>
    <w:p w14:paraId="6D516F03" w14:textId="5E90BDDE" w:rsidR="00A601F8" w:rsidRDefault="00A601F8"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lastRenderedPageBreak/>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19B474AA"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7F39F5" w:rsidRPr="00AF78D3">
                <w:rPr>
                  <w:rFonts w:asciiTheme="minorHAnsi" w:hAnsiTheme="minorHAnsi" w:cs="Arial"/>
                </w:rPr>
                <w:t xml:space="preserve">Environmental </w:t>
              </w:r>
              <w:r w:rsidR="00AF78D3">
                <w:rPr>
                  <w:rFonts w:asciiTheme="minorHAnsi" w:hAnsiTheme="minorHAnsi" w:cs="Arial"/>
                </w:rPr>
                <w:t>E</w:t>
              </w:r>
              <w:r w:rsidR="007F39F5" w:rsidRPr="00AF78D3">
                <w:rPr>
                  <w:rFonts w:asciiTheme="minorHAnsi" w:hAnsiTheme="minorHAnsi" w:cs="Arial"/>
                </w:rPr>
                <w:t xml:space="preserve">ngineering, Environmental </w:t>
              </w:r>
              <w:r w:rsidR="00AF78D3">
                <w:rPr>
                  <w:rFonts w:asciiTheme="minorHAnsi" w:hAnsiTheme="minorHAnsi" w:cs="Arial"/>
                </w:rPr>
                <w:t>S</w:t>
              </w:r>
              <w:r w:rsidR="007F39F5" w:rsidRPr="00AF78D3">
                <w:rPr>
                  <w:rFonts w:asciiTheme="minorHAnsi" w:hAnsiTheme="minorHAnsi" w:cs="Arial"/>
                </w:rPr>
                <w:t xml:space="preserve">ciences, Social </w:t>
              </w:r>
              <w:r w:rsidR="00AF78D3">
                <w:rPr>
                  <w:rFonts w:asciiTheme="minorHAnsi" w:hAnsiTheme="minorHAnsi" w:cs="Arial"/>
                </w:rPr>
                <w:t>S</w:t>
              </w:r>
              <w:r w:rsidR="007F39F5" w:rsidRPr="00AF78D3">
                <w:rPr>
                  <w:rFonts w:asciiTheme="minorHAnsi" w:hAnsiTheme="minorHAnsi" w:cs="Arial"/>
                </w:rPr>
                <w:t>ciences, Economics, Sustainable development,</w:t>
              </w:r>
              <w:r w:rsidR="00D34FC5">
                <w:rPr>
                  <w:rFonts w:asciiTheme="minorHAnsi" w:hAnsiTheme="minorHAnsi" w:cs="Arial"/>
                </w:rPr>
                <w:t xml:space="preserve"> </w:t>
              </w:r>
              <w:r w:rsidR="00D34FC5" w:rsidRPr="00D34FC5">
                <w:rPr>
                  <w:rFonts w:asciiTheme="minorHAnsi" w:hAnsiTheme="minorHAnsi" w:cs="Arial"/>
                </w:rPr>
                <w:t>Geography</w:t>
              </w:r>
              <w:r w:rsidR="00D34FC5">
                <w:rPr>
                  <w:rFonts w:asciiTheme="minorHAnsi" w:hAnsiTheme="minorHAnsi" w:cs="Arial"/>
                </w:rPr>
                <w:t xml:space="preserve">, Disaster Risk Management, </w:t>
              </w:r>
              <w:r w:rsidR="00D34FC5" w:rsidRPr="00D34FC5">
                <w:rPr>
                  <w:rFonts w:asciiTheme="minorHAnsi" w:hAnsiTheme="minorHAnsi" w:cs="Arial"/>
                </w:rPr>
                <w:t>Climate Change Adaptation</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5D2DEA9"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proficient user of Microsoft Office productivity tools</w:t>
      </w:r>
      <w:r w:rsidR="00B12B04">
        <w:rPr>
          <w:rFonts w:asciiTheme="minorHAnsi" w:hAnsiTheme="minorHAnsi" w:cs="Arial"/>
          <w:sz w:val="20"/>
        </w:rPr>
        <w:t>;</w:t>
      </w:r>
    </w:p>
    <w:p w14:paraId="2328236F" w14:textId="3ED0F665" w:rsidR="00D91EE0" w:rsidRDefault="00AF78D3" w:rsidP="0017368E">
      <w:pPr>
        <w:pStyle w:val="Header"/>
        <w:numPr>
          <w:ilvl w:val="0"/>
          <w:numId w:val="19"/>
        </w:numPr>
        <w:ind w:left="714" w:hanging="357"/>
        <w:jc w:val="both"/>
        <w:rPr>
          <w:rFonts w:asciiTheme="minorHAnsi" w:hAnsiTheme="minorHAnsi" w:cs="Arial"/>
          <w:sz w:val="20"/>
        </w:rPr>
      </w:pPr>
      <w:r w:rsidRPr="00AF78D3">
        <w:rPr>
          <w:rFonts w:asciiTheme="minorHAnsi" w:hAnsiTheme="minorHAnsi" w:cs="Arial"/>
          <w:sz w:val="20"/>
        </w:rPr>
        <w:t>Intermediate/advanced knowledge of spreadsheets and/or databases.</w:t>
      </w:r>
    </w:p>
    <w:p w14:paraId="068A4230" w14:textId="36C06F79" w:rsidR="00D34FC5" w:rsidRDefault="00D34FC5" w:rsidP="0017368E">
      <w:pPr>
        <w:pStyle w:val="Header"/>
        <w:numPr>
          <w:ilvl w:val="0"/>
          <w:numId w:val="19"/>
        </w:numPr>
        <w:ind w:left="714" w:hanging="357"/>
        <w:jc w:val="both"/>
        <w:rPr>
          <w:rFonts w:asciiTheme="minorHAnsi" w:hAnsiTheme="minorHAnsi" w:cs="Arial"/>
          <w:sz w:val="20"/>
        </w:rPr>
      </w:pPr>
      <w:r w:rsidRPr="00D34FC5">
        <w:rPr>
          <w:rFonts w:asciiTheme="minorHAnsi" w:hAnsiTheme="minorHAnsi" w:cs="Arial"/>
          <w:sz w:val="20"/>
        </w:rPr>
        <w:t xml:space="preserve">Experience in handling </w:t>
      </w:r>
      <w:r>
        <w:rPr>
          <w:rFonts w:asciiTheme="minorHAnsi" w:hAnsiTheme="minorHAnsi" w:cs="Arial"/>
          <w:sz w:val="20"/>
        </w:rPr>
        <w:t>web-based</w:t>
      </w:r>
      <w:r w:rsidRPr="00D34FC5">
        <w:rPr>
          <w:rFonts w:asciiTheme="minorHAnsi" w:hAnsiTheme="minorHAnsi" w:cs="Arial"/>
          <w:sz w:val="20"/>
        </w:rPr>
        <w:t xml:space="preserve"> management systems and social knowledge networks</w:t>
      </w:r>
      <w:r w:rsidR="00D768AC">
        <w:rPr>
          <w:rFonts w:asciiTheme="minorHAnsi" w:hAnsiTheme="minorHAnsi" w:cs="Arial"/>
          <w:sz w:val="20"/>
        </w:rPr>
        <w:t>, is desirable</w:t>
      </w:r>
    </w:p>
    <w:p w14:paraId="0D1EA918" w14:textId="1C33E3B8" w:rsidR="00D768AC" w:rsidRPr="00D768AC" w:rsidRDefault="00D768AC" w:rsidP="00D768AC">
      <w:pPr>
        <w:pStyle w:val="Header"/>
        <w:numPr>
          <w:ilvl w:val="0"/>
          <w:numId w:val="19"/>
        </w:numPr>
        <w:ind w:left="714" w:hanging="357"/>
        <w:jc w:val="both"/>
        <w:rPr>
          <w:rFonts w:asciiTheme="minorHAnsi" w:hAnsiTheme="minorHAnsi" w:cs="Arial"/>
          <w:sz w:val="20"/>
        </w:rPr>
      </w:pPr>
      <w:r>
        <w:rPr>
          <w:rFonts w:asciiTheme="minorHAnsi" w:hAnsiTheme="minorHAnsi" w:cs="Arial"/>
          <w:sz w:val="20"/>
        </w:rPr>
        <w:t>K</w:t>
      </w:r>
      <w:r w:rsidRPr="00D768AC">
        <w:rPr>
          <w:rFonts w:asciiTheme="minorHAnsi" w:hAnsiTheme="minorHAnsi" w:cs="Arial"/>
          <w:sz w:val="20"/>
        </w:rPr>
        <w:t xml:space="preserve">nowledge about statistical </w:t>
      </w:r>
      <w:r>
        <w:rPr>
          <w:rFonts w:asciiTheme="minorHAnsi" w:hAnsiTheme="minorHAnsi" w:cs="Arial"/>
          <w:sz w:val="20"/>
        </w:rPr>
        <w:t xml:space="preserve">modelling and/or </w:t>
      </w:r>
      <w:r w:rsidRPr="00D768AC">
        <w:rPr>
          <w:rFonts w:asciiTheme="minorHAnsi" w:hAnsiTheme="minorHAnsi" w:cs="Arial"/>
          <w:sz w:val="20"/>
        </w:rPr>
        <w:t xml:space="preserve">geographic information </w:t>
      </w:r>
      <w:r>
        <w:rPr>
          <w:rFonts w:asciiTheme="minorHAnsi" w:hAnsiTheme="minorHAnsi" w:cs="Arial"/>
          <w:sz w:val="20"/>
        </w:rPr>
        <w:t>systems</w:t>
      </w:r>
      <w:r w:rsidRPr="00D768AC">
        <w:rPr>
          <w:rFonts w:asciiTheme="minorHAnsi" w:hAnsiTheme="minorHAnsi" w:cs="Arial"/>
          <w:sz w:val="20"/>
        </w:rPr>
        <w:t xml:space="preserve">, </w:t>
      </w:r>
      <w:r>
        <w:rPr>
          <w:rFonts w:asciiTheme="minorHAnsi" w:hAnsiTheme="minorHAnsi" w:cs="Arial"/>
          <w:sz w:val="20"/>
        </w:rPr>
        <w:t>is desirable.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B32DF5C" w:rsidR="004300EB" w:rsidRPr="00135960" w:rsidRDefault="00AF78D3">
      <w:pPr>
        <w:pStyle w:val="Header"/>
        <w:numPr>
          <w:ilvl w:val="0"/>
          <w:numId w:val="19"/>
        </w:numPr>
        <w:ind w:left="714" w:hanging="357"/>
        <w:jc w:val="both"/>
        <w:rPr>
          <w:rFonts w:asciiTheme="minorHAnsi" w:hAnsiTheme="minorHAnsi" w:cs="Arial"/>
          <w:sz w:val="20"/>
        </w:rPr>
      </w:pPr>
      <w:r>
        <w:rPr>
          <w:rFonts w:asciiTheme="minorHAnsi" w:hAnsiTheme="minorHAnsi" w:cs="Arial"/>
          <w:sz w:val="20"/>
        </w:rPr>
        <w:t>Fluency in English and working / intermediate knowledge of Spanish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6972AB6C" w:rsidR="00414B5C" w:rsidRPr="0017368E" w:rsidRDefault="00AF78D3" w:rsidP="004300E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Fluency in Spanish </w:t>
      </w:r>
      <w:r w:rsidR="0033185A"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38076B47" w14:textId="207A8407" w:rsidR="00AF78D3" w:rsidRPr="0036528F" w:rsidRDefault="00AF78D3" w:rsidP="0036528F">
      <w:pPr>
        <w:pStyle w:val="Header"/>
        <w:numPr>
          <w:ilvl w:val="0"/>
          <w:numId w:val="19"/>
        </w:numPr>
        <w:ind w:left="714" w:hanging="357"/>
        <w:jc w:val="both"/>
        <w:rPr>
          <w:rFonts w:asciiTheme="minorHAnsi" w:hAnsiTheme="minorHAnsi" w:cs="Arial"/>
          <w:sz w:val="20"/>
        </w:rPr>
      </w:pPr>
      <w:r w:rsidRPr="00AF78D3">
        <w:rPr>
          <w:rFonts w:asciiTheme="minorHAnsi" w:hAnsiTheme="minorHAnsi" w:cs="Arial"/>
          <w:sz w:val="20"/>
        </w:rPr>
        <w:t xml:space="preserve">Knowledge of Public Management, International Relations, </w:t>
      </w:r>
      <w:r>
        <w:rPr>
          <w:rFonts w:asciiTheme="minorHAnsi" w:hAnsiTheme="minorHAnsi" w:cs="Arial"/>
          <w:sz w:val="20"/>
        </w:rPr>
        <w:t>I</w:t>
      </w:r>
      <w:r w:rsidRPr="00AF78D3">
        <w:rPr>
          <w:rFonts w:asciiTheme="minorHAnsi" w:hAnsiTheme="minorHAnsi" w:cs="Arial"/>
          <w:sz w:val="20"/>
        </w:rPr>
        <w:t xml:space="preserve">nternational </w:t>
      </w:r>
      <w:r>
        <w:rPr>
          <w:rFonts w:asciiTheme="minorHAnsi" w:hAnsiTheme="minorHAnsi" w:cs="Arial"/>
          <w:sz w:val="20"/>
        </w:rPr>
        <w:t>O</w:t>
      </w:r>
      <w:r w:rsidRPr="00AF78D3">
        <w:rPr>
          <w:rFonts w:asciiTheme="minorHAnsi" w:hAnsiTheme="minorHAnsi" w:cs="Arial"/>
          <w:sz w:val="20"/>
        </w:rPr>
        <w:t>rganizations or related organizations is desirable</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7D0F5D">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60F81" w14:textId="77777777" w:rsidR="007D0F5D" w:rsidRDefault="007D0F5D">
      <w:r>
        <w:separator/>
      </w:r>
    </w:p>
  </w:endnote>
  <w:endnote w:type="continuationSeparator" w:id="0">
    <w:p w14:paraId="6456ECD8" w14:textId="77777777" w:rsidR="007D0F5D" w:rsidRDefault="007D0F5D">
      <w:r>
        <w:continuationSeparator/>
      </w:r>
    </w:p>
  </w:endnote>
  <w:endnote w:type="continuationNotice" w:id="1">
    <w:p w14:paraId="3EDA6C9D" w14:textId="77777777" w:rsidR="007D0F5D" w:rsidRDefault="007D0F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D99E0" w14:textId="77777777" w:rsidR="007D0F5D" w:rsidRDefault="007D0F5D">
      <w:r>
        <w:separator/>
      </w:r>
    </w:p>
  </w:footnote>
  <w:footnote w:type="continuationSeparator" w:id="0">
    <w:p w14:paraId="491FC921" w14:textId="77777777" w:rsidR="007D0F5D" w:rsidRDefault="007D0F5D">
      <w:r>
        <w:continuationSeparator/>
      </w:r>
    </w:p>
  </w:footnote>
  <w:footnote w:type="continuationNotice" w:id="1">
    <w:p w14:paraId="6DFC7CBA" w14:textId="77777777" w:rsidR="007D0F5D" w:rsidRDefault="007D0F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7438CD"/>
    <w:multiLevelType w:val="hybridMultilevel"/>
    <w:tmpl w:val="BC3831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6628119">
    <w:abstractNumId w:val="12"/>
  </w:num>
  <w:num w:numId="2" w16cid:durableId="127433020">
    <w:abstractNumId w:val="18"/>
  </w:num>
  <w:num w:numId="3" w16cid:durableId="877083052">
    <w:abstractNumId w:val="4"/>
  </w:num>
  <w:num w:numId="4" w16cid:durableId="132793795">
    <w:abstractNumId w:val="9"/>
  </w:num>
  <w:num w:numId="5" w16cid:durableId="1746680721">
    <w:abstractNumId w:val="17"/>
  </w:num>
  <w:num w:numId="6" w16cid:durableId="1888909138">
    <w:abstractNumId w:val="15"/>
  </w:num>
  <w:num w:numId="7" w16cid:durableId="481702722">
    <w:abstractNumId w:val="20"/>
  </w:num>
  <w:num w:numId="8" w16cid:durableId="673342893">
    <w:abstractNumId w:val="7"/>
  </w:num>
  <w:num w:numId="9" w16cid:durableId="1511682125">
    <w:abstractNumId w:val="21"/>
  </w:num>
  <w:num w:numId="10" w16cid:durableId="1673946411">
    <w:abstractNumId w:val="0"/>
  </w:num>
  <w:num w:numId="11" w16cid:durableId="1761758690">
    <w:abstractNumId w:val="10"/>
  </w:num>
  <w:num w:numId="12" w16cid:durableId="553543734">
    <w:abstractNumId w:val="5"/>
  </w:num>
  <w:num w:numId="13" w16cid:durableId="2021006816">
    <w:abstractNumId w:val="19"/>
  </w:num>
  <w:num w:numId="14" w16cid:durableId="447433645">
    <w:abstractNumId w:val="2"/>
  </w:num>
  <w:num w:numId="15" w16cid:durableId="1916359800">
    <w:abstractNumId w:val="16"/>
  </w:num>
  <w:num w:numId="16" w16cid:durableId="16468286">
    <w:abstractNumId w:val="14"/>
  </w:num>
  <w:num w:numId="17" w16cid:durableId="543951051">
    <w:abstractNumId w:val="3"/>
  </w:num>
  <w:num w:numId="18" w16cid:durableId="106316074">
    <w:abstractNumId w:val="1"/>
  </w:num>
  <w:num w:numId="19" w16cid:durableId="1421637251">
    <w:abstractNumId w:val="6"/>
  </w:num>
  <w:num w:numId="20" w16cid:durableId="1647973419">
    <w:abstractNumId w:val="11"/>
  </w:num>
  <w:num w:numId="21" w16cid:durableId="1781872499">
    <w:abstractNumId w:val="24"/>
  </w:num>
  <w:num w:numId="22" w16cid:durableId="1301033288">
    <w:abstractNumId w:val="13"/>
  </w:num>
  <w:num w:numId="23" w16cid:durableId="1913809960">
    <w:abstractNumId w:val="8"/>
  </w:num>
  <w:num w:numId="24" w16cid:durableId="137263439">
    <w:abstractNumId w:val="22"/>
  </w:num>
  <w:num w:numId="25" w16cid:durableId="15298331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9C1"/>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87474"/>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17B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0FDF"/>
    <w:rsid w:val="002E35FC"/>
    <w:rsid w:val="002E4600"/>
    <w:rsid w:val="002E52CA"/>
    <w:rsid w:val="002F02BB"/>
    <w:rsid w:val="002F34B8"/>
    <w:rsid w:val="0030680B"/>
    <w:rsid w:val="00313014"/>
    <w:rsid w:val="00313DDD"/>
    <w:rsid w:val="00314D68"/>
    <w:rsid w:val="00317AC3"/>
    <w:rsid w:val="00321178"/>
    <w:rsid w:val="00321618"/>
    <w:rsid w:val="0033185A"/>
    <w:rsid w:val="00331CDE"/>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3356"/>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9596E"/>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45EE1"/>
    <w:rsid w:val="005539A9"/>
    <w:rsid w:val="005556B7"/>
    <w:rsid w:val="0055703D"/>
    <w:rsid w:val="005570B5"/>
    <w:rsid w:val="00567B61"/>
    <w:rsid w:val="00570CF2"/>
    <w:rsid w:val="005747F8"/>
    <w:rsid w:val="005864ED"/>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E62BA"/>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4A9"/>
    <w:rsid w:val="00672CBA"/>
    <w:rsid w:val="00674302"/>
    <w:rsid w:val="00676250"/>
    <w:rsid w:val="00681CB3"/>
    <w:rsid w:val="00685562"/>
    <w:rsid w:val="006940FE"/>
    <w:rsid w:val="0069521E"/>
    <w:rsid w:val="006954D8"/>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0A37"/>
    <w:rsid w:val="00751148"/>
    <w:rsid w:val="0075373F"/>
    <w:rsid w:val="00762186"/>
    <w:rsid w:val="00765F30"/>
    <w:rsid w:val="00771012"/>
    <w:rsid w:val="0077434E"/>
    <w:rsid w:val="00774376"/>
    <w:rsid w:val="00776461"/>
    <w:rsid w:val="00777FF5"/>
    <w:rsid w:val="00783EF5"/>
    <w:rsid w:val="00797817"/>
    <w:rsid w:val="007A3AF1"/>
    <w:rsid w:val="007A6F44"/>
    <w:rsid w:val="007B0702"/>
    <w:rsid w:val="007B1A85"/>
    <w:rsid w:val="007B1B9F"/>
    <w:rsid w:val="007B311D"/>
    <w:rsid w:val="007B5C19"/>
    <w:rsid w:val="007C2454"/>
    <w:rsid w:val="007C2FD6"/>
    <w:rsid w:val="007C306C"/>
    <w:rsid w:val="007D0F5D"/>
    <w:rsid w:val="007D2CBB"/>
    <w:rsid w:val="007D374D"/>
    <w:rsid w:val="007D4C45"/>
    <w:rsid w:val="007D50B1"/>
    <w:rsid w:val="007D5608"/>
    <w:rsid w:val="007E039E"/>
    <w:rsid w:val="007E56B0"/>
    <w:rsid w:val="007F00C2"/>
    <w:rsid w:val="007F199F"/>
    <w:rsid w:val="007F19E6"/>
    <w:rsid w:val="007F2DE0"/>
    <w:rsid w:val="007F35EE"/>
    <w:rsid w:val="007F39F5"/>
    <w:rsid w:val="007F3E04"/>
    <w:rsid w:val="007F5D82"/>
    <w:rsid w:val="00805514"/>
    <w:rsid w:val="00815F35"/>
    <w:rsid w:val="00816F1D"/>
    <w:rsid w:val="00821F91"/>
    <w:rsid w:val="00830760"/>
    <w:rsid w:val="00836073"/>
    <w:rsid w:val="00847E47"/>
    <w:rsid w:val="0085273C"/>
    <w:rsid w:val="008701DD"/>
    <w:rsid w:val="008706CB"/>
    <w:rsid w:val="008812A4"/>
    <w:rsid w:val="0088255C"/>
    <w:rsid w:val="008866AE"/>
    <w:rsid w:val="00891155"/>
    <w:rsid w:val="0089453F"/>
    <w:rsid w:val="00895918"/>
    <w:rsid w:val="00897838"/>
    <w:rsid w:val="008A21B9"/>
    <w:rsid w:val="008A30C9"/>
    <w:rsid w:val="008A589A"/>
    <w:rsid w:val="008B1C6E"/>
    <w:rsid w:val="008B5546"/>
    <w:rsid w:val="008B5807"/>
    <w:rsid w:val="008C75CB"/>
    <w:rsid w:val="008D3DA8"/>
    <w:rsid w:val="008E54BD"/>
    <w:rsid w:val="008E6081"/>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00C4"/>
    <w:rsid w:val="00AA211C"/>
    <w:rsid w:val="00AC365A"/>
    <w:rsid w:val="00AC4F73"/>
    <w:rsid w:val="00AE11A7"/>
    <w:rsid w:val="00AE467E"/>
    <w:rsid w:val="00AF4FF8"/>
    <w:rsid w:val="00AF6ACD"/>
    <w:rsid w:val="00AF7369"/>
    <w:rsid w:val="00AF769E"/>
    <w:rsid w:val="00AF78D3"/>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558B9"/>
    <w:rsid w:val="00C61A97"/>
    <w:rsid w:val="00C61B9B"/>
    <w:rsid w:val="00C63661"/>
    <w:rsid w:val="00C6546B"/>
    <w:rsid w:val="00C67E00"/>
    <w:rsid w:val="00C70BFB"/>
    <w:rsid w:val="00C823C4"/>
    <w:rsid w:val="00C84D3F"/>
    <w:rsid w:val="00C9769A"/>
    <w:rsid w:val="00CA45D2"/>
    <w:rsid w:val="00CA49D1"/>
    <w:rsid w:val="00CA7311"/>
    <w:rsid w:val="00CB6A56"/>
    <w:rsid w:val="00CC1514"/>
    <w:rsid w:val="00CC4114"/>
    <w:rsid w:val="00CD4816"/>
    <w:rsid w:val="00CD4AA2"/>
    <w:rsid w:val="00CE55A0"/>
    <w:rsid w:val="00CE727F"/>
    <w:rsid w:val="00CF0790"/>
    <w:rsid w:val="00CF0B21"/>
    <w:rsid w:val="00CF4890"/>
    <w:rsid w:val="00CF5530"/>
    <w:rsid w:val="00CF678B"/>
    <w:rsid w:val="00CF6BA2"/>
    <w:rsid w:val="00D00508"/>
    <w:rsid w:val="00D05A80"/>
    <w:rsid w:val="00D06A94"/>
    <w:rsid w:val="00D143D0"/>
    <w:rsid w:val="00D17E6C"/>
    <w:rsid w:val="00D20CAA"/>
    <w:rsid w:val="00D254F6"/>
    <w:rsid w:val="00D274D0"/>
    <w:rsid w:val="00D34FC5"/>
    <w:rsid w:val="00D35F0A"/>
    <w:rsid w:val="00D46638"/>
    <w:rsid w:val="00D522CE"/>
    <w:rsid w:val="00D53E47"/>
    <w:rsid w:val="00D60425"/>
    <w:rsid w:val="00D70AF4"/>
    <w:rsid w:val="00D71594"/>
    <w:rsid w:val="00D7362D"/>
    <w:rsid w:val="00D768AC"/>
    <w:rsid w:val="00D80BA0"/>
    <w:rsid w:val="00D81DD1"/>
    <w:rsid w:val="00D826E7"/>
    <w:rsid w:val="00D8576B"/>
    <w:rsid w:val="00D87BB4"/>
    <w:rsid w:val="00D91EE0"/>
    <w:rsid w:val="00D96BD9"/>
    <w:rsid w:val="00DA6C78"/>
    <w:rsid w:val="00DA7041"/>
    <w:rsid w:val="00DB22B6"/>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07D8A"/>
    <w:rsid w:val="00F11DAF"/>
    <w:rsid w:val="00F141A1"/>
    <w:rsid w:val="00F1443F"/>
    <w:rsid w:val="00F154B9"/>
    <w:rsid w:val="00F20631"/>
    <w:rsid w:val="00F24D21"/>
    <w:rsid w:val="00F31801"/>
    <w:rsid w:val="00F36D1E"/>
    <w:rsid w:val="00F42FDB"/>
    <w:rsid w:val="00F509C3"/>
    <w:rsid w:val="00F5317C"/>
    <w:rsid w:val="00F53F2B"/>
    <w:rsid w:val="00F5654C"/>
    <w:rsid w:val="00F629E4"/>
    <w:rsid w:val="00F632CF"/>
    <w:rsid w:val="00F64BAA"/>
    <w:rsid w:val="00F67370"/>
    <w:rsid w:val="00F7154A"/>
    <w:rsid w:val="00F71D0D"/>
    <w:rsid w:val="00F72600"/>
    <w:rsid w:val="00F81CD8"/>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F4B56033-4B0E-49F5-B23C-8D5B5B5D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D6F13"/>
    <w:rsid w:val="001A08BA"/>
    <w:rsid w:val="001A70F5"/>
    <w:rsid w:val="00231792"/>
    <w:rsid w:val="002676E3"/>
    <w:rsid w:val="00283201"/>
    <w:rsid w:val="006249A7"/>
    <w:rsid w:val="00982D89"/>
    <w:rsid w:val="009F12C2"/>
    <w:rsid w:val="00AA14C4"/>
    <w:rsid w:val="00F53473"/>
  </w:rsids>
  <m:mathPr>
    <m:mathFont m:val="Cambria Math"/>
    <m:brkBin m:val="before"/>
    <m:brkBinSub m:val="--"/>
    <m:smallFrac m:val="0"/>
    <m:dispDef/>
    <m:lMargin m:val="0"/>
    <m:rMargin m:val="0"/>
    <m:defJc m:val="centerGroup"/>
    <m:wrapIndent m:val="1440"/>
    <m:intLim m:val="subSup"/>
    <m:naryLim m:val="undOvr"/>
  </m:mathPr>
  <w:themeFontLang w:val="es-P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P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014F5-B567-43C8-9679-AA2B38B78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1264</Words>
  <Characters>7206</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UNDP/IAPSO</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48</cp:revision>
  <dcterms:created xsi:type="dcterms:W3CDTF">2022-02-22T17:10:00Z</dcterms:created>
  <dcterms:modified xsi:type="dcterms:W3CDTF">2024-03-05T10:10:00Z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b626d7284dca8a8d701b25c2cf8d1420080ca8fdc289e8d26249bd6a1b35cc51</vt:lpwstr>
  </property>
  <property fmtid="{D5CDD505-2E9C-101B-9397-08002B2CF9AE}" pid="4" name="ContentTypeId">
    <vt:lpwstr>0x010100FECE5856245F0E40951DA37C5D61E30A</vt:lpwstr>
  </property>
</Properties>
</file>