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36270EE"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D653FF">
        <w:rPr>
          <w:rFonts w:asciiTheme="minorHAnsi" w:hAnsiTheme="minorHAnsi" w:cs="Arial"/>
          <w:lang w:val="en-GB"/>
        </w:rPr>
        <w:tab/>
      </w:r>
      <w:r w:rsidR="00D653FF">
        <w:rPr>
          <w:rFonts w:asciiTheme="minorHAnsi" w:hAnsiTheme="minorHAnsi" w:cs="Arial"/>
          <w:lang w:val="en-GB"/>
        </w:rPr>
        <w:tab/>
      </w:r>
      <w:r w:rsidR="00F777C7" w:rsidRPr="00F777C7">
        <w:rPr>
          <w:rFonts w:asciiTheme="minorHAnsi" w:hAnsiTheme="minorHAnsi" w:cs="Arial"/>
          <w:lang w:val="en-GB"/>
        </w:rPr>
        <w:t xml:space="preserve">Programme and Stakeholder </w:t>
      </w:r>
      <w:r w:rsidR="00A96FCD">
        <w:rPr>
          <w:rFonts w:asciiTheme="minorHAnsi" w:hAnsiTheme="minorHAnsi" w:cs="Arial" w:hint="eastAsia"/>
          <w:lang w:val="en-GB" w:eastAsia="zh-CN"/>
        </w:rPr>
        <w:t>Intern</w:t>
      </w:r>
      <w:r w:rsidR="00F777C7" w:rsidRPr="00F777C7">
        <w:rPr>
          <w:rFonts w:asciiTheme="minorHAnsi" w:hAnsiTheme="minorHAnsi" w:cs="Arial"/>
          <w:lang w:val="en-GB"/>
        </w:rPr>
        <w:t xml:space="preserve"> </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298515C5" w:rsidR="003F47AD" w:rsidRPr="005539A9" w:rsidRDefault="003F47AD" w:rsidP="00A601F8">
      <w:pPr>
        <w:rPr>
          <w:rFonts w:asciiTheme="minorHAnsi" w:hAnsiTheme="minorHAnsi" w:cs="Arial"/>
        </w:rPr>
      </w:pPr>
      <w:r>
        <w:rPr>
          <w:rFonts w:asciiTheme="minorHAnsi" w:hAnsiTheme="minorHAnsi" w:cs="Arial"/>
          <w:lang w:val="en-GB"/>
        </w:rPr>
        <w:t>Sector of assignment:</w:t>
      </w:r>
      <w:r w:rsidR="007F535A">
        <w:rPr>
          <w:rFonts w:asciiTheme="minorHAnsi" w:hAnsiTheme="minorHAnsi" w:cs="Arial"/>
          <w:lang w:val="en-GB"/>
        </w:rPr>
        <w:t xml:space="preserve"> </w:t>
      </w:r>
      <w:r w:rsidR="007F535A">
        <w:rPr>
          <w:rFonts w:asciiTheme="minorHAnsi" w:hAnsiTheme="minorHAnsi" w:cs="Arial"/>
          <w:lang w:val="en-GB"/>
        </w:rPr>
        <w:tab/>
      </w:r>
      <w:r w:rsidR="00F777C7">
        <w:rPr>
          <w:rFonts w:asciiTheme="minorHAnsi" w:hAnsiTheme="minorHAnsi" w:cs="Arial"/>
          <w:lang w:val="en-GB"/>
        </w:rPr>
        <w:t xml:space="preserve">Climate and Forests </w:t>
      </w:r>
      <w:r w:rsidR="005539A9">
        <w:rPr>
          <w:rFonts w:asciiTheme="minorHAnsi" w:hAnsiTheme="minorHAnsi" w:cs="Arial"/>
          <w:lang w:val="en-GB"/>
        </w:rPr>
        <w:tab/>
      </w:r>
    </w:p>
    <w:p w14:paraId="67D59395" w14:textId="345E0D34"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nit:</w:t>
      </w:r>
      <w:r w:rsidR="007F535A">
        <w:rPr>
          <w:rFonts w:asciiTheme="minorHAnsi" w:hAnsiTheme="minorHAnsi" w:cs="Arial"/>
          <w:lang w:val="en-GB"/>
        </w:rPr>
        <w:t xml:space="preserve"> </w:t>
      </w:r>
      <w:r w:rsidR="007F535A">
        <w:rPr>
          <w:rFonts w:asciiTheme="minorHAnsi" w:hAnsiTheme="minorHAnsi" w:cs="Arial"/>
          <w:lang w:val="en-GB"/>
        </w:rPr>
        <w:tab/>
      </w:r>
      <w:r w:rsidR="00F777C7" w:rsidRPr="00F777C7">
        <w:rPr>
          <w:rFonts w:asciiTheme="minorHAnsi" w:hAnsiTheme="minorHAnsi" w:cs="Arial"/>
          <w:lang w:val="en-GB"/>
        </w:rPr>
        <w:t>Climate &amp; Forests, Climate Hub, BPPS</w:t>
      </w:r>
      <w:r w:rsidR="00F777C7" w:rsidRPr="00A13D39">
        <w:rPr>
          <w:rFonts w:asciiTheme="minorHAnsi" w:hAnsiTheme="minorHAnsi" w:cs="Arial"/>
          <w:lang w:val="en-GB"/>
        </w:rPr>
        <w:tab/>
      </w:r>
      <w:r w:rsidR="00313014" w:rsidRPr="00A13D39">
        <w:rPr>
          <w:rFonts w:asciiTheme="minorHAnsi" w:hAnsiTheme="minorHAnsi" w:cs="Arial"/>
          <w:lang w:val="en-GB"/>
        </w:rPr>
        <w:tab/>
      </w:r>
    </w:p>
    <w:p w14:paraId="6D413E5E" w14:textId="48E14438"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F777C7">
        <w:rPr>
          <w:rFonts w:asciiTheme="minorHAnsi" w:hAnsiTheme="minorHAnsi" w:cs="Arial"/>
        </w:rPr>
        <w:t xml:space="preserve">Nairobi, Kenya </w:t>
      </w:r>
    </w:p>
    <w:p w14:paraId="078B9725" w14:textId="4E4CFA85"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82205D" w:rsidRPr="0082205D">
        <w:rPr>
          <w:rFonts w:asciiTheme="minorHAnsi" w:hAnsiTheme="minorHAnsi" w:cs="Arial" w:hint="eastAsia"/>
          <w:lang w:val="en-GB" w:eastAsia="zh-CN"/>
        </w:rPr>
        <w:t>9</w:t>
      </w:r>
      <w:r w:rsidR="005539A9" w:rsidRPr="0082205D">
        <w:rPr>
          <w:rFonts w:asciiTheme="minorHAnsi" w:hAnsiTheme="minorHAnsi" w:cs="Arial"/>
          <w:lang w:val="en-GB"/>
        </w:rPr>
        <w:t xml:space="preserve"> </w:t>
      </w:r>
      <w:r w:rsidR="00313014" w:rsidRPr="0082205D">
        <w:rPr>
          <w:rFonts w:asciiTheme="minorHAnsi" w:hAnsiTheme="minorHAnsi" w:cs="Arial"/>
          <w:lang w:val="en-GB"/>
        </w:rPr>
        <w:t>months</w:t>
      </w:r>
    </w:p>
    <w:p w14:paraId="15C313DA" w14:textId="5ED23292"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F777C7">
        <w:rPr>
          <w:rFonts w:asciiTheme="minorHAnsi" w:hAnsiTheme="minorHAnsi" w:cs="Arial"/>
          <w:lang w:val="en-GB"/>
        </w:rPr>
        <w:t xml:space="preserve"> </w:t>
      </w:r>
      <w:r w:rsidR="007F535A">
        <w:rPr>
          <w:rFonts w:asciiTheme="minorHAnsi" w:hAnsiTheme="minorHAnsi" w:cs="Arial"/>
          <w:lang w:val="en-GB"/>
        </w:rPr>
        <w:tab/>
      </w:r>
      <w:r w:rsidR="00F777C7">
        <w:rPr>
          <w:rFonts w:asciiTheme="minorHAnsi" w:hAnsiTheme="minorHAnsi" w:cs="Arial"/>
          <w:lang w:val="en-GB"/>
        </w:rPr>
        <w:t>TBC</w:t>
      </w:r>
    </w:p>
    <w:p w14:paraId="4A699A6C" w14:textId="4672CCB6"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7F535A">
        <w:rPr>
          <w:rFonts w:asciiTheme="minorHAnsi" w:hAnsiTheme="minorHAnsi" w:cs="Arial"/>
          <w:lang w:val="en-GB"/>
        </w:rPr>
        <w:t xml:space="preserve">Wahida Patwa Shah </w:t>
      </w:r>
    </w:p>
    <w:p w14:paraId="440A3199" w14:textId="129AECFF"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7F535A">
        <w:rPr>
          <w:rFonts w:asciiTheme="minorHAnsi" w:hAnsiTheme="minorHAnsi" w:cs="Arial"/>
          <w:lang w:val="en-GB"/>
        </w:rPr>
        <w:tab/>
        <w:t>Senior Regional T</w:t>
      </w:r>
      <w:r w:rsidR="00D653FF">
        <w:rPr>
          <w:rFonts w:asciiTheme="minorHAnsi" w:hAnsiTheme="minorHAnsi" w:cs="Arial"/>
          <w:lang w:val="en-GB"/>
        </w:rPr>
        <w:t>echnical</w:t>
      </w:r>
      <w:r w:rsidR="007F535A">
        <w:rPr>
          <w:rFonts w:asciiTheme="minorHAnsi" w:hAnsiTheme="minorHAnsi" w:cs="Arial"/>
          <w:lang w:val="en-GB"/>
        </w:rPr>
        <w:t xml:space="preserve"> Advisor </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11ADE536" w14:textId="77777777" w:rsidR="005F66AF" w:rsidRPr="005F66AF" w:rsidRDefault="005F66AF" w:rsidP="005F66AF">
      <w:pPr>
        <w:jc w:val="both"/>
        <w:rPr>
          <w:rFonts w:asciiTheme="minorHAnsi" w:hAnsiTheme="minorHAnsi" w:cs="Arial"/>
          <w:lang w:val="en-GB"/>
        </w:rPr>
      </w:pPr>
      <w:r w:rsidRPr="005F66AF">
        <w:rPr>
          <w:rFonts w:asciiTheme="minorHAnsi" w:hAnsiTheme="minorHAnsi" w:cs="Arial"/>
          <w:lang w:val="en-GB"/>
        </w:rPr>
        <w:t>BPPS’s Hubs on Nature, Climate, Energy and Waste, with the support of the Vertical Fund Programme Support, Oversight and Compliance Unit, works with governments, civil society, and private sector partners to integrate nature, climate, energy and waste related concerns into national and sector planning and inclusive growth policies, support country obligations under Multilateral Environmental Agreements, and oversee the implementation of the UN’s largest portfolio of in-country programming nature, climate change, energy and waste.</w:t>
      </w:r>
    </w:p>
    <w:p w14:paraId="26628BE5" w14:textId="77777777" w:rsidR="003473AF" w:rsidRDefault="003473AF" w:rsidP="005F66AF">
      <w:pPr>
        <w:jc w:val="both"/>
        <w:rPr>
          <w:rFonts w:asciiTheme="minorHAnsi" w:hAnsiTheme="minorHAnsi" w:cs="Arial"/>
          <w:lang w:val="en-GB"/>
        </w:rPr>
      </w:pPr>
    </w:p>
    <w:p w14:paraId="573F0109" w14:textId="690CAD55" w:rsidR="005F66AF" w:rsidRDefault="005F66AF" w:rsidP="005F66AF">
      <w:pPr>
        <w:jc w:val="both"/>
        <w:rPr>
          <w:rFonts w:asciiTheme="minorHAnsi" w:hAnsiTheme="minorHAnsi" w:cs="Arial"/>
          <w:lang w:val="en-GB"/>
        </w:rPr>
      </w:pPr>
      <w:r w:rsidRPr="005F66AF">
        <w:rPr>
          <w:rFonts w:asciiTheme="minorHAnsi" w:hAnsiTheme="minorHAnsi" w:cs="Arial"/>
          <w:lang w:val="en-GB"/>
        </w:rPr>
        <w:t xml:space="preserve">The UNDP Climate Hub is the arrowhead of UNDP’s commitment to the “Climate Promise” that aims to support programming countries designing and implementing pledges under the Paris Agreement, including ambitious National Determined Contributions, with climate change mitigation and adaptation interventions fully embedded in the national development planning and budgetary processes. The Climate Hub will build on UNDP’s existing over USD 4 billion country-level climate portfolio on Climate Change Policies and Strategies, Climate Change Adaptation, Climate Change Mitigation, Climate and Forests, covering over 142 countries, as well as on UNDP’s Nature portfolio, UNDP’s Sustainable Finance Hub, UNDP’s Digital offer and other relevant portfolios on youth, gender, health, climate security among others. </w:t>
      </w:r>
    </w:p>
    <w:p w14:paraId="6D8F38E7" w14:textId="77777777" w:rsidR="00567E78" w:rsidRPr="005F66AF" w:rsidRDefault="00567E78" w:rsidP="005F66AF">
      <w:pPr>
        <w:jc w:val="both"/>
        <w:rPr>
          <w:rFonts w:asciiTheme="minorHAnsi" w:hAnsiTheme="minorHAnsi" w:cs="Arial"/>
          <w:lang w:val="en-GB"/>
        </w:rPr>
      </w:pPr>
    </w:p>
    <w:p w14:paraId="2717ADDB" w14:textId="77777777" w:rsidR="005F66AF" w:rsidRPr="005F66AF" w:rsidRDefault="005F66AF" w:rsidP="005F66AF">
      <w:pPr>
        <w:jc w:val="both"/>
        <w:rPr>
          <w:rFonts w:asciiTheme="minorHAnsi" w:hAnsiTheme="minorHAnsi" w:cs="Arial"/>
          <w:lang w:val="en-GB"/>
        </w:rPr>
      </w:pPr>
      <w:r w:rsidRPr="005F66AF">
        <w:rPr>
          <w:rFonts w:asciiTheme="minorHAnsi" w:hAnsiTheme="minorHAnsi" w:cs="Arial"/>
          <w:lang w:val="en-GB"/>
        </w:rPr>
        <w:t xml:space="preserve">The UNDP Climate Hub is responsible for: </w:t>
      </w:r>
    </w:p>
    <w:p w14:paraId="52758080" w14:textId="4212C4E0"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Thought leadership on Climate and to be the custodian of UNDP policy positions on </w:t>
      </w:r>
      <w:r w:rsidR="0043103D">
        <w:rPr>
          <w:rFonts w:asciiTheme="minorHAnsi" w:hAnsiTheme="minorHAnsi" w:cs="Arial"/>
          <w:lang w:val="en-GB"/>
        </w:rPr>
        <w:t>c</w:t>
      </w:r>
      <w:r w:rsidRPr="00567E78">
        <w:rPr>
          <w:rFonts w:asciiTheme="minorHAnsi" w:hAnsiTheme="minorHAnsi" w:cs="Arial"/>
          <w:lang w:val="en-GB"/>
        </w:rPr>
        <w:t xml:space="preserve">limate; </w:t>
      </w:r>
    </w:p>
    <w:p w14:paraId="00CF9575" w14:textId="2BED7069"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Strategy and vision formulation; </w:t>
      </w:r>
    </w:p>
    <w:p w14:paraId="36A54CA5" w14:textId="34A0C456"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Pipeline development in coordination with the other hubs and the Vertical Fund Programme Support, </w:t>
      </w:r>
      <w:r w:rsidR="0043103D">
        <w:rPr>
          <w:rFonts w:asciiTheme="minorHAnsi" w:hAnsiTheme="minorHAnsi" w:cs="Arial"/>
          <w:lang w:val="en-GB"/>
        </w:rPr>
        <w:t>o</w:t>
      </w:r>
      <w:r w:rsidRPr="00567E78">
        <w:rPr>
          <w:rFonts w:asciiTheme="minorHAnsi" w:hAnsiTheme="minorHAnsi" w:cs="Arial"/>
          <w:lang w:val="en-GB"/>
        </w:rPr>
        <w:t xml:space="preserve">versight and </w:t>
      </w:r>
      <w:r w:rsidR="0043103D">
        <w:rPr>
          <w:rFonts w:asciiTheme="minorHAnsi" w:hAnsiTheme="minorHAnsi" w:cs="Arial"/>
          <w:lang w:val="en-GB"/>
        </w:rPr>
        <w:t>c</w:t>
      </w:r>
      <w:r w:rsidRPr="00567E78">
        <w:rPr>
          <w:rFonts w:asciiTheme="minorHAnsi" w:hAnsiTheme="minorHAnsi" w:cs="Arial"/>
          <w:lang w:val="en-GB"/>
        </w:rPr>
        <w:t xml:space="preserve">ompliance; </w:t>
      </w:r>
    </w:p>
    <w:p w14:paraId="7E7A370C" w14:textId="22B54F58"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Provision of integrated policy and programme support to Country Offices; </w:t>
      </w:r>
    </w:p>
    <w:p w14:paraId="319EBC40" w14:textId="78687F10"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Global engagement, advocacy in collaboration with BERA; </w:t>
      </w:r>
    </w:p>
    <w:p w14:paraId="31A8A484" w14:textId="5AE6C92D"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Integration across thematic areas; </w:t>
      </w:r>
    </w:p>
    <w:p w14:paraId="2DBC1773" w14:textId="1924D335"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lastRenderedPageBreak/>
        <w:t xml:space="preserve">Strategic Partnerships development and resource mobilization; </w:t>
      </w:r>
    </w:p>
    <w:p w14:paraId="23DC52CC" w14:textId="6A91FD47"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Lead and </w:t>
      </w:r>
      <w:r w:rsidR="00820FBA">
        <w:rPr>
          <w:rFonts w:asciiTheme="minorHAnsi" w:hAnsiTheme="minorHAnsi" w:cs="Arial"/>
          <w:lang w:val="en-GB"/>
        </w:rPr>
        <w:t>s</w:t>
      </w:r>
      <w:r w:rsidRPr="00567E78">
        <w:rPr>
          <w:rFonts w:asciiTheme="minorHAnsi" w:hAnsiTheme="minorHAnsi" w:cs="Arial"/>
          <w:lang w:val="en-GB"/>
        </w:rPr>
        <w:t xml:space="preserve">upport global flagship initiatives and partnerships on Climate; </w:t>
      </w:r>
    </w:p>
    <w:p w14:paraId="5661228A" w14:textId="32E715A9"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Serve as focal point with relevant UN coordination mechanisms and Conventions (UN Framework Convention on Climate Change); </w:t>
      </w:r>
    </w:p>
    <w:p w14:paraId="6776FE71" w14:textId="1952D075"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 xml:space="preserve">Cross-organization knowledge and learning; and </w:t>
      </w:r>
    </w:p>
    <w:p w14:paraId="5B0C2DFC" w14:textId="40541752" w:rsidR="005F66AF" w:rsidRPr="00567E78" w:rsidRDefault="005F66AF" w:rsidP="00567E78">
      <w:pPr>
        <w:pStyle w:val="ListParagraph"/>
        <w:numPr>
          <w:ilvl w:val="0"/>
          <w:numId w:val="26"/>
        </w:numPr>
        <w:jc w:val="both"/>
        <w:rPr>
          <w:rFonts w:asciiTheme="minorHAnsi" w:hAnsiTheme="minorHAnsi" w:cs="Arial"/>
          <w:lang w:val="en-GB"/>
        </w:rPr>
      </w:pPr>
      <w:r w:rsidRPr="00567E78">
        <w:rPr>
          <w:rFonts w:asciiTheme="minorHAnsi" w:hAnsiTheme="minorHAnsi" w:cs="Arial"/>
          <w:lang w:val="en-GB"/>
        </w:rPr>
        <w:t>Innovation.</w:t>
      </w:r>
    </w:p>
    <w:p w14:paraId="7D4CFCD4" w14:textId="77777777" w:rsidR="005F66AF" w:rsidRPr="005F66AF" w:rsidRDefault="005F66AF" w:rsidP="005F66AF">
      <w:pPr>
        <w:jc w:val="both"/>
        <w:rPr>
          <w:rFonts w:asciiTheme="minorHAnsi" w:hAnsiTheme="minorHAnsi" w:cs="Arial"/>
          <w:lang w:val="en-GB"/>
        </w:rPr>
      </w:pPr>
    </w:p>
    <w:p w14:paraId="0D8C3A85" w14:textId="77777777" w:rsidR="005F66AF" w:rsidRPr="005F66AF" w:rsidRDefault="005F66AF" w:rsidP="005F66AF">
      <w:pPr>
        <w:jc w:val="both"/>
        <w:rPr>
          <w:rFonts w:asciiTheme="minorHAnsi" w:hAnsiTheme="minorHAnsi" w:cs="Arial"/>
          <w:lang w:val="en-GB"/>
        </w:rPr>
      </w:pPr>
      <w:r w:rsidRPr="005F66AF">
        <w:rPr>
          <w:rFonts w:asciiTheme="minorHAnsi" w:hAnsiTheme="minorHAnsi" w:cs="Arial"/>
          <w:lang w:val="en-GB"/>
        </w:rPr>
        <w:t xml:space="preserve">The Climate and Forests team supports climate mitigation efforts in the forest sector. Deforestation and forest degradation accounts for more than 10 percent of global greenhouse gas emissions and it is clear that the stabilization of global temperatures cannot be achieved without reducing emissions from the forest sector. UNDP's Climate and Forests team supports countries to reduce deforestation and forest degradation, conserve and sustainably manage forests in accordance with the requirements of the UNFCCC to have GHG emissions reductions and removals recognized and rewarded. More information at: www.climateandforests-undp.org.  </w:t>
      </w:r>
    </w:p>
    <w:p w14:paraId="57ADAA33" w14:textId="313AF0AC" w:rsidR="005F66AF" w:rsidRPr="005F66AF" w:rsidRDefault="005F66AF" w:rsidP="005F66AF">
      <w:pPr>
        <w:jc w:val="both"/>
        <w:rPr>
          <w:rFonts w:asciiTheme="minorHAnsi" w:hAnsiTheme="minorHAnsi" w:cs="Arial"/>
          <w:lang w:val="en-GB"/>
        </w:rPr>
      </w:pPr>
      <w:r w:rsidRPr="005F66AF">
        <w:rPr>
          <w:rFonts w:asciiTheme="minorHAnsi" w:hAnsiTheme="minorHAnsi" w:cs="Arial"/>
          <w:lang w:val="en-GB"/>
        </w:rPr>
        <w:t>The regional portfolio is part of a Climate and Forests global workplan which seeks to implement the 2023</w:t>
      </w:r>
      <w:r w:rsidR="00820FBA">
        <w:rPr>
          <w:rFonts w:asciiTheme="minorHAnsi" w:hAnsiTheme="minorHAnsi" w:cs="Arial"/>
          <w:lang w:val="en-GB"/>
        </w:rPr>
        <w:t>-</w:t>
      </w:r>
      <w:r w:rsidRPr="005F66AF">
        <w:rPr>
          <w:rFonts w:asciiTheme="minorHAnsi" w:hAnsiTheme="minorHAnsi" w:cs="Arial"/>
          <w:lang w:val="en-GB"/>
        </w:rPr>
        <w:t xml:space="preserve">2025 Workplan as follows in Table 1 </w:t>
      </w:r>
    </w:p>
    <w:p w14:paraId="3C6754F9" w14:textId="77777777" w:rsidR="005F66AF" w:rsidRPr="005F66AF" w:rsidRDefault="005F66AF" w:rsidP="005F66AF">
      <w:pPr>
        <w:jc w:val="both"/>
        <w:rPr>
          <w:rFonts w:asciiTheme="minorHAnsi" w:hAnsiTheme="minorHAnsi" w:cs="Arial"/>
          <w:lang w:val="en-GB"/>
        </w:rPr>
      </w:pPr>
    </w:p>
    <w:tbl>
      <w:tblPr>
        <w:tblW w:w="1010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
        <w:gridCol w:w="9532"/>
        <w:gridCol w:w="560"/>
      </w:tblGrid>
      <w:tr w:rsidR="003D24EA" w:rsidRPr="003D24EA" w14:paraId="0A4E197C"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58CB4CCC" w14:textId="77777777" w:rsidR="003D24EA" w:rsidRPr="003D24EA" w:rsidRDefault="003D24EA" w:rsidP="00C055CB">
            <w:pPr>
              <w:jc w:val="center"/>
              <w:rPr>
                <w:rFonts w:ascii="Arial Nova" w:eastAsia="Times New Roman" w:hAnsi="Arial Nova" w:cs="Arial"/>
              </w:rPr>
            </w:pPr>
            <w:r w:rsidRPr="003D24EA">
              <w:rPr>
                <w:rFonts w:ascii="Arial Nova" w:eastAsia="Times New Roman" w:hAnsi="Arial Nova" w:cs="Arial"/>
              </w:rPr>
              <w:t>Climate and Forests Workplan 2023-2025</w:t>
            </w:r>
          </w:p>
        </w:tc>
      </w:tr>
      <w:tr w:rsidR="003D24EA" w:rsidRPr="003D24EA" w14:paraId="02A0FC16"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DEEAF6"/>
            <w:hideMark/>
          </w:tcPr>
          <w:p w14:paraId="713468AF"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Thematic Work Area 1: Implementing Forest Solutions with Equity &amp; Integrity </w:t>
            </w:r>
          </w:p>
        </w:tc>
      </w:tr>
      <w:tr w:rsidR="003D24EA" w:rsidRPr="003D24EA" w14:paraId="3E234D4E"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74F38ADE"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1.1.National policy and governance arrangements to advance NDCs in the land &amp; forest sector, using social-inclusion and gender-responsive approaches </w:t>
            </w:r>
          </w:p>
        </w:tc>
      </w:tr>
      <w:tr w:rsidR="003D24EA" w:rsidRPr="003D24EA" w14:paraId="60DF8B7D"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6B596E0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1.2.Empowering IPs as NDCs/forests implementation partners </w:t>
            </w:r>
          </w:p>
        </w:tc>
      </w:tr>
      <w:tr w:rsidR="003D24EA" w:rsidRPr="003D24EA" w14:paraId="756E9A4C"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7AF71F09"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1.3.Investment programmes &amp; funds for NDC/REDD+ implementation </w:t>
            </w:r>
          </w:p>
        </w:tc>
      </w:tr>
      <w:tr w:rsidR="003D24EA" w:rsidRPr="003D24EA" w14:paraId="50857DDD"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2F224388"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1.4.National financing instruments to underpin NDC/forests implementation </w:t>
            </w:r>
          </w:p>
        </w:tc>
      </w:tr>
      <w:tr w:rsidR="003D24EA" w:rsidRPr="003D24EA" w14:paraId="58DD6114"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2C3A6FBD"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1.5.Social integrity in NDC/REDD+ implementation </w:t>
            </w:r>
          </w:p>
        </w:tc>
      </w:tr>
      <w:tr w:rsidR="003D24EA" w:rsidRPr="003D24EA" w14:paraId="5FB338C3"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3FE217AE"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1.6.National schemes for deforestation-free production &amp; trade (DFPT) </w:t>
            </w:r>
          </w:p>
        </w:tc>
      </w:tr>
      <w:tr w:rsidR="003D24EA" w:rsidRPr="003D24EA" w14:paraId="78605662"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D9E2F3"/>
            <w:hideMark/>
          </w:tcPr>
          <w:p w14:paraId="799586C6"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Thematic Work Area 2: NDC ambition and UNFCCC alignment</w:t>
            </w:r>
          </w:p>
        </w:tc>
      </w:tr>
      <w:tr w:rsidR="003D24EA" w:rsidRPr="003D24EA" w14:paraId="5BA69CFB" w14:textId="77777777" w:rsidTr="00633067">
        <w:trPr>
          <w:gridAfter w:val="1"/>
          <w:wAfter w:w="560" w:type="dxa"/>
          <w:trHeight w:val="300"/>
        </w:trPr>
        <w:tc>
          <w:tcPr>
            <w:tcW w:w="95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DEE291"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2.1 Global coordination and partnerships to promote and support NDC ambition in forests and other land uses  </w:t>
            </w:r>
          </w:p>
        </w:tc>
      </w:tr>
      <w:tr w:rsidR="003D24EA" w:rsidRPr="003D24EA" w14:paraId="56AA3C19" w14:textId="77777777" w:rsidTr="00633067">
        <w:trPr>
          <w:gridAfter w:val="1"/>
          <w:wAfter w:w="560" w:type="dxa"/>
          <w:trHeight w:val="300"/>
        </w:trPr>
        <w:tc>
          <w:tcPr>
            <w:tcW w:w="95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E12DE4"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2.2 Global Coordination on the enhanced transparency framework (ETF) </w:t>
            </w:r>
          </w:p>
        </w:tc>
      </w:tr>
      <w:tr w:rsidR="003D24EA" w:rsidRPr="003D24EA" w14:paraId="671B081E" w14:textId="77777777" w:rsidTr="00633067">
        <w:trPr>
          <w:gridAfter w:val="1"/>
          <w:wAfter w:w="560" w:type="dxa"/>
          <w:trHeight w:val="300"/>
        </w:trPr>
        <w:tc>
          <w:tcPr>
            <w:tcW w:w="95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D074B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2.3 Direct support to Countries on Monitoring, Reporting and Verification (MRV)/ETF to enhance NDCs  </w:t>
            </w:r>
          </w:p>
        </w:tc>
      </w:tr>
      <w:tr w:rsidR="003D24EA" w:rsidRPr="003D24EA" w14:paraId="6681AEFE" w14:textId="77777777" w:rsidTr="00633067">
        <w:trPr>
          <w:gridAfter w:val="1"/>
          <w:wAfter w:w="560" w:type="dxa"/>
          <w:trHeight w:val="300"/>
        </w:trPr>
        <w:tc>
          <w:tcPr>
            <w:tcW w:w="95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134D1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2.4 Support Digital solutions for NDC implementation and MRV </w:t>
            </w:r>
          </w:p>
        </w:tc>
      </w:tr>
      <w:tr w:rsidR="003D24EA" w:rsidRPr="003D24EA" w14:paraId="1817D8C0" w14:textId="77777777" w:rsidTr="00633067">
        <w:trPr>
          <w:gridAfter w:val="1"/>
          <w:wAfter w:w="560" w:type="dxa"/>
          <w:trHeight w:val="300"/>
        </w:trPr>
        <w:tc>
          <w:tcPr>
            <w:tcW w:w="95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232A3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2.5 UNFCCC and related global strategic engagement  </w:t>
            </w:r>
          </w:p>
        </w:tc>
      </w:tr>
      <w:tr w:rsidR="003D24EA" w:rsidRPr="003D24EA" w14:paraId="3FDEC430"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D9E2F3"/>
            <w:hideMark/>
          </w:tcPr>
          <w:p w14:paraId="65E303E2"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Thematic Work Area 3: Climate Finance for Forests </w:t>
            </w:r>
          </w:p>
          <w:p w14:paraId="5118CF8A"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i/>
                <w:iCs/>
              </w:rPr>
              <w:t>Objective</w:t>
            </w:r>
            <w:r w:rsidRPr="003D24EA">
              <w:rPr>
                <w:rFonts w:ascii="Arial Nova" w:eastAsia="Times New Roman" w:hAnsi="Arial Nova" w:cs="Arial"/>
              </w:rPr>
              <w:t>: Increase Access to High Integrity Climate Finance for NDC Implementation for the Forest Sector  </w:t>
            </w:r>
          </w:p>
        </w:tc>
      </w:tr>
      <w:tr w:rsidR="003D24EA" w:rsidRPr="003D24EA" w14:paraId="445B0FEE"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60194438"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3.1. Carbon markets strategic advisory and technical assessments </w:t>
            </w:r>
          </w:p>
        </w:tc>
      </w:tr>
      <w:tr w:rsidR="003D24EA" w:rsidRPr="003D24EA" w14:paraId="454C9D5F"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747EF367"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3.2. Technical support for Voluntary Carbon Market compliance </w:t>
            </w:r>
          </w:p>
        </w:tc>
      </w:tr>
      <w:tr w:rsidR="003D24EA" w:rsidRPr="003D24EA" w14:paraId="12D8AD4E"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273E0F2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3.3. Compliance with international standards on social, environment and gender safeguards </w:t>
            </w:r>
          </w:p>
        </w:tc>
      </w:tr>
      <w:tr w:rsidR="003D24EA" w:rsidRPr="003D24EA" w14:paraId="69AC7C8F"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1D7D4428"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3.4. Technical support for domestic carbon markets </w:t>
            </w:r>
          </w:p>
        </w:tc>
      </w:tr>
      <w:tr w:rsidR="003D24EA" w:rsidRPr="003D24EA" w14:paraId="63C89F88"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19336579"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3.5. Support Indigenous Peoples and local communities’ capacities to take strategic decisions </w:t>
            </w:r>
          </w:p>
        </w:tc>
      </w:tr>
      <w:tr w:rsidR="003D24EA" w:rsidRPr="003D24EA" w14:paraId="7F7B9E65"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229D16AD"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3.6. Access to REDD+ results-based payments </w:t>
            </w:r>
          </w:p>
        </w:tc>
      </w:tr>
      <w:tr w:rsidR="003D24EA" w:rsidRPr="003D24EA" w14:paraId="5EFA8D01"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447887B2"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3.7. Access to other performance-based financial mechanisms </w:t>
            </w:r>
          </w:p>
        </w:tc>
      </w:tr>
      <w:tr w:rsidR="003D24EA" w:rsidRPr="003D24EA" w14:paraId="21BB36B9"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4D005B4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3.8. Stakeholder engagement/ Capacity-building support </w:t>
            </w:r>
          </w:p>
        </w:tc>
      </w:tr>
      <w:tr w:rsidR="003D24EA" w:rsidRPr="003D24EA" w14:paraId="7CE5B70A"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262F0EF5"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rPr>
              <w:t>Crosscutting Work Area 4: Operations </w:t>
            </w:r>
          </w:p>
          <w:p w14:paraId="765D85DF"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i/>
                <w:iCs/>
              </w:rPr>
              <w:t>Objective: Effective programme &amp; partnership management, knowledge management &amp; communications</w:t>
            </w:r>
            <w:r w:rsidRPr="003D24EA">
              <w:rPr>
                <w:rFonts w:ascii="Arial Nova" w:eastAsia="Times New Roman" w:hAnsi="Arial Nova" w:cs="Arial"/>
              </w:rPr>
              <w:t> </w:t>
            </w:r>
          </w:p>
        </w:tc>
      </w:tr>
      <w:tr w:rsidR="003D24EA" w:rsidRPr="003D24EA" w14:paraId="493E246B" w14:textId="77777777" w:rsidTr="00633067">
        <w:trPr>
          <w:gridBefore w:val="1"/>
          <w:gridAfter w:val="1"/>
          <w:wBefore w:w="8" w:type="dxa"/>
          <w:wAfter w:w="560"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13AC04BB"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4.1 Programme and partnership management </w:t>
            </w:r>
          </w:p>
        </w:tc>
      </w:tr>
      <w:tr w:rsidR="003D24EA" w:rsidRPr="003D24EA" w14:paraId="25A38E65" w14:textId="77777777" w:rsidTr="00633067">
        <w:trPr>
          <w:gridBefore w:val="1"/>
          <w:wBefore w:w="8"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7007F655"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4.2 Knowledge management </w:t>
            </w:r>
          </w:p>
        </w:tc>
        <w:tc>
          <w:tcPr>
            <w:tcW w:w="560" w:type="dxa"/>
            <w:shd w:val="clear" w:color="auto" w:fill="auto"/>
            <w:vAlign w:val="center"/>
            <w:hideMark/>
          </w:tcPr>
          <w:p w14:paraId="7C82166F" w14:textId="77777777" w:rsidR="003D24EA" w:rsidRPr="003D24EA" w:rsidRDefault="003D24EA" w:rsidP="00C055CB">
            <w:pPr>
              <w:rPr>
                <w:rFonts w:ascii="Arial Nova" w:eastAsia="Times New Roman" w:hAnsi="Arial Nova" w:cs="Arial"/>
              </w:rPr>
            </w:pPr>
          </w:p>
        </w:tc>
      </w:tr>
      <w:tr w:rsidR="003D24EA" w:rsidRPr="003D24EA" w14:paraId="5B306F0F" w14:textId="77777777" w:rsidTr="00633067">
        <w:trPr>
          <w:gridBefore w:val="1"/>
          <w:wBefore w:w="8" w:type="dxa"/>
          <w:trHeight w:val="300"/>
        </w:trPr>
        <w:tc>
          <w:tcPr>
            <w:tcW w:w="9532" w:type="dxa"/>
            <w:tcBorders>
              <w:top w:val="single" w:sz="6" w:space="0" w:color="auto"/>
              <w:left w:val="single" w:sz="6" w:space="0" w:color="auto"/>
              <w:bottom w:val="single" w:sz="6" w:space="0" w:color="auto"/>
              <w:right w:val="single" w:sz="6" w:space="0" w:color="auto"/>
            </w:tcBorders>
            <w:shd w:val="clear" w:color="auto" w:fill="auto"/>
            <w:hideMark/>
          </w:tcPr>
          <w:p w14:paraId="0E9A8C17" w14:textId="77777777" w:rsidR="003D24EA" w:rsidRPr="003D24EA" w:rsidRDefault="003D24EA" w:rsidP="00C055CB">
            <w:pPr>
              <w:rPr>
                <w:rFonts w:ascii="Arial Nova" w:eastAsia="Times New Roman" w:hAnsi="Arial Nova" w:cs="Arial"/>
              </w:rPr>
            </w:pPr>
            <w:r w:rsidRPr="003D24EA">
              <w:rPr>
                <w:rFonts w:ascii="Arial Nova" w:eastAsia="Times New Roman" w:hAnsi="Arial Nova" w:cs="Arial"/>
                <w:color w:val="000000"/>
              </w:rPr>
              <w:t>4.3 Communications  </w:t>
            </w:r>
          </w:p>
        </w:tc>
        <w:tc>
          <w:tcPr>
            <w:tcW w:w="560" w:type="dxa"/>
            <w:shd w:val="clear" w:color="auto" w:fill="auto"/>
            <w:vAlign w:val="center"/>
            <w:hideMark/>
          </w:tcPr>
          <w:p w14:paraId="59FD0833" w14:textId="77777777" w:rsidR="003D24EA" w:rsidRPr="003D24EA" w:rsidRDefault="003D24EA" w:rsidP="00C055CB">
            <w:pPr>
              <w:rPr>
                <w:rFonts w:ascii="Arial Nova" w:eastAsia="Times New Roman" w:hAnsi="Arial Nova" w:cs="Arial"/>
              </w:rPr>
            </w:pPr>
          </w:p>
        </w:tc>
      </w:tr>
    </w:tbl>
    <w:p w14:paraId="1B63CBDE" w14:textId="77777777" w:rsidR="00617B12" w:rsidRDefault="00617B12">
      <w:pPr>
        <w:rPr>
          <w:rFonts w:asciiTheme="minorHAnsi" w:hAnsiTheme="minorHAnsi" w:cs="Arial"/>
          <w:b/>
          <w:lang w:val="en-GB"/>
        </w:rPr>
      </w:pPr>
    </w:p>
    <w:p w14:paraId="49B84E9F" w14:textId="77777777" w:rsidR="00633067" w:rsidRDefault="00633067">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22702B6E"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7D56426A" w:rsidR="007F00C2" w:rsidRPr="007F00C2" w:rsidRDefault="007A0930" w:rsidP="007F00C2">
            <w:pPr>
              <w:rPr>
                <w:rFonts w:asciiTheme="minorHAnsi" w:hAnsiTheme="minorHAnsi"/>
                <w:b/>
                <w:lang w:val="en-GB"/>
              </w:rPr>
            </w:pPr>
            <w:r>
              <w:rPr>
                <w:rFonts w:asciiTheme="minorHAnsi" w:hAnsiTheme="minorHAnsi"/>
                <w:b/>
                <w:lang w:val="en-GB"/>
              </w:rPr>
              <w:t>Support to implementation of programmes</w:t>
            </w:r>
          </w:p>
          <w:p w14:paraId="3A5228FD" w14:textId="3A2CF146" w:rsidR="001618CD" w:rsidRDefault="00BA17B0" w:rsidP="00BA17B0">
            <w:pPr>
              <w:pStyle w:val="ListParagraph"/>
              <w:numPr>
                <w:ilvl w:val="0"/>
                <w:numId w:val="24"/>
              </w:numPr>
              <w:rPr>
                <w:rFonts w:asciiTheme="minorHAnsi" w:hAnsiTheme="minorHAnsi"/>
                <w:lang w:val="en-GB"/>
              </w:rPr>
            </w:pPr>
            <w:r w:rsidRPr="00BA17B0">
              <w:rPr>
                <w:rFonts w:asciiTheme="minorHAnsi" w:hAnsiTheme="minorHAnsi"/>
                <w:lang w:val="en-GB"/>
              </w:rPr>
              <w:t xml:space="preserve">Provide assistance to the implementation of the Climate Promise and UN-REDD initiatives in the region, in Cote d’Ivoire, Democratic Republic of Congo, Ghana, Liberia, Kenya, Republic of Congo and Uganda, </w:t>
            </w:r>
          </w:p>
          <w:p w14:paraId="0CAD0EC7" w14:textId="756B8ECC" w:rsidR="00BA17B0" w:rsidRDefault="00BA17B0" w:rsidP="00BA17B0">
            <w:pPr>
              <w:pStyle w:val="ListParagraph"/>
              <w:numPr>
                <w:ilvl w:val="0"/>
                <w:numId w:val="24"/>
              </w:numPr>
              <w:rPr>
                <w:rFonts w:asciiTheme="minorHAnsi" w:hAnsiTheme="minorHAnsi"/>
                <w:lang w:val="en-GB"/>
              </w:rPr>
            </w:pPr>
            <w:r w:rsidRPr="00BA17B0">
              <w:rPr>
                <w:rFonts w:asciiTheme="minorHAnsi" w:hAnsiTheme="minorHAnsi"/>
                <w:lang w:val="en-GB"/>
              </w:rPr>
              <w:t>This will include assistance with editing keystone documents, organising stakeholder events (such as agenda, participants, logistics), and drafting project and workshop reports.</w:t>
            </w:r>
          </w:p>
          <w:p w14:paraId="0C3B4F78" w14:textId="68B69DF6" w:rsidR="00EF5A66" w:rsidRPr="00BA17B0" w:rsidRDefault="00EF5A66" w:rsidP="00BA17B0">
            <w:pPr>
              <w:pStyle w:val="ListParagraph"/>
              <w:numPr>
                <w:ilvl w:val="0"/>
                <w:numId w:val="24"/>
              </w:numPr>
              <w:rPr>
                <w:rFonts w:asciiTheme="minorHAnsi" w:hAnsiTheme="minorHAnsi"/>
                <w:lang w:val="en-GB"/>
              </w:rPr>
            </w:pPr>
            <w:r>
              <w:rPr>
                <w:rFonts w:asciiTheme="minorHAnsi" w:hAnsiTheme="minorHAnsi"/>
                <w:lang w:val="en-GB"/>
              </w:rPr>
              <w:t>S</w:t>
            </w:r>
            <w:r w:rsidRPr="00EF5A66">
              <w:rPr>
                <w:rFonts w:asciiTheme="minorHAnsi" w:hAnsiTheme="minorHAnsi"/>
                <w:lang w:val="en-GB"/>
              </w:rPr>
              <w:t>upport</w:t>
            </w:r>
            <w:r>
              <w:rPr>
                <w:rFonts w:asciiTheme="minorHAnsi" w:hAnsiTheme="minorHAnsi"/>
                <w:lang w:val="en-GB"/>
              </w:rPr>
              <w:t xml:space="preserve"> the regional team to assist</w:t>
            </w:r>
            <w:r w:rsidRPr="00EF5A66">
              <w:rPr>
                <w:rFonts w:asciiTheme="minorHAnsi" w:hAnsiTheme="minorHAnsi"/>
                <w:lang w:val="en-GB"/>
              </w:rPr>
              <w:t xml:space="preserve"> national governments, civic stakeholders, indigenous peoples, gender-equality organisations and UNDP country offices to mainstream stakeholder engagement and social equality across the portfolio, from NDC</w:t>
            </w:r>
            <w:r>
              <w:rPr>
                <w:rFonts w:asciiTheme="minorHAnsi" w:hAnsiTheme="minorHAnsi"/>
                <w:lang w:val="en-GB"/>
              </w:rPr>
              <w:t xml:space="preserve"> implementation</w:t>
            </w:r>
            <w:r w:rsidRPr="00EF5A66">
              <w:rPr>
                <w:rFonts w:asciiTheme="minorHAnsi" w:hAnsiTheme="minorHAnsi"/>
                <w:lang w:val="en-GB"/>
              </w:rPr>
              <w:t xml:space="preserve"> to field projects, with special focus on gender equality and indigenous rights.</w:t>
            </w:r>
          </w:p>
          <w:p w14:paraId="56C02510" w14:textId="2AC65B18" w:rsidR="00F64BAA" w:rsidRPr="00F20631" w:rsidRDefault="00F64BAA" w:rsidP="00F20631">
            <w:pPr>
              <w:pStyle w:val="ListParagraph"/>
              <w:numPr>
                <w:ilvl w:val="0"/>
                <w:numId w:val="24"/>
              </w:numPr>
              <w:rPr>
                <w:rFonts w:asciiTheme="minorHAnsi" w:hAnsiTheme="minorHAnsi"/>
                <w:lang w:val="en-GB"/>
              </w:rPr>
            </w:pPr>
          </w:p>
        </w:tc>
        <w:tc>
          <w:tcPr>
            <w:tcW w:w="1005" w:type="dxa"/>
          </w:tcPr>
          <w:p w14:paraId="245AC64F" w14:textId="0FA785B0" w:rsidR="00F64BAA" w:rsidRPr="001B6350" w:rsidRDefault="00F64BAA" w:rsidP="00B65404">
            <w:pPr>
              <w:jc w:val="center"/>
              <w:rPr>
                <w:rFonts w:asciiTheme="minorHAnsi" w:hAnsiTheme="minorHAnsi" w:cs="Arial"/>
                <w:b/>
                <w:lang w:val="en-GB"/>
              </w:rPr>
            </w:pPr>
            <w:r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B7AE795" w:rsidR="007F00C2" w:rsidRPr="00F20631" w:rsidRDefault="0086675A" w:rsidP="007F00C2">
            <w:pPr>
              <w:rPr>
                <w:rFonts w:asciiTheme="minorHAnsi" w:hAnsiTheme="minorHAnsi"/>
                <w:b/>
                <w:bCs/>
                <w:lang w:val="en-GB"/>
              </w:rPr>
            </w:pPr>
            <w:r>
              <w:rPr>
                <w:rFonts w:asciiTheme="minorHAnsi" w:hAnsiTheme="minorHAnsi"/>
                <w:b/>
                <w:bCs/>
                <w:lang w:val="en-GB"/>
              </w:rPr>
              <w:t xml:space="preserve">Raising ambition and resource mobilisation </w:t>
            </w:r>
          </w:p>
          <w:p w14:paraId="2830E2F5" w14:textId="77777777" w:rsidR="00D479D4" w:rsidRDefault="006C139F" w:rsidP="006C139F">
            <w:pPr>
              <w:pStyle w:val="ListParagraph"/>
              <w:numPr>
                <w:ilvl w:val="0"/>
                <w:numId w:val="19"/>
              </w:numPr>
              <w:rPr>
                <w:rFonts w:asciiTheme="minorHAnsi" w:hAnsiTheme="minorHAnsi"/>
                <w:lang w:val="en-GB"/>
              </w:rPr>
            </w:pPr>
            <w:r w:rsidRPr="006C139F">
              <w:rPr>
                <w:rFonts w:asciiTheme="minorHAnsi" w:hAnsiTheme="minorHAnsi"/>
                <w:lang w:val="en-GB"/>
              </w:rPr>
              <w:t>Research, compile and analyse information for on-going country processes and new initiatives based on requests from UNDP Country Offices,</w:t>
            </w:r>
          </w:p>
          <w:p w14:paraId="72788823" w14:textId="77777777" w:rsidR="006A21E7" w:rsidRDefault="00D479D4" w:rsidP="006A21E7">
            <w:pPr>
              <w:pStyle w:val="ListParagraph"/>
              <w:numPr>
                <w:ilvl w:val="0"/>
                <w:numId w:val="19"/>
              </w:numPr>
              <w:rPr>
                <w:rFonts w:asciiTheme="minorHAnsi" w:hAnsiTheme="minorHAnsi"/>
                <w:lang w:val="en-GB"/>
              </w:rPr>
            </w:pPr>
            <w:r>
              <w:rPr>
                <w:rFonts w:asciiTheme="minorHAnsi" w:hAnsiTheme="minorHAnsi"/>
                <w:lang w:val="en-GB"/>
              </w:rPr>
              <w:t>C</w:t>
            </w:r>
            <w:r w:rsidR="006C139F" w:rsidRPr="006C139F">
              <w:rPr>
                <w:rFonts w:asciiTheme="minorHAnsi" w:hAnsiTheme="minorHAnsi"/>
                <w:lang w:val="en-GB"/>
              </w:rPr>
              <w:t>ollaborat</w:t>
            </w:r>
            <w:r>
              <w:rPr>
                <w:rFonts w:asciiTheme="minorHAnsi" w:hAnsiTheme="minorHAnsi"/>
                <w:lang w:val="en-GB"/>
              </w:rPr>
              <w:t>e</w:t>
            </w:r>
            <w:r w:rsidR="006C139F" w:rsidRPr="006C139F">
              <w:rPr>
                <w:rFonts w:asciiTheme="minorHAnsi" w:hAnsiTheme="minorHAnsi"/>
                <w:lang w:val="en-GB"/>
              </w:rPr>
              <w:t xml:space="preserve"> in the drafting of concept notes, terms of reference and project proposals.</w:t>
            </w:r>
          </w:p>
          <w:p w14:paraId="3107A99E" w14:textId="3495D0D0" w:rsidR="00F64BAA" w:rsidRPr="006A21E7" w:rsidRDefault="0086675A" w:rsidP="006A21E7">
            <w:pPr>
              <w:pStyle w:val="ListParagraph"/>
              <w:numPr>
                <w:ilvl w:val="0"/>
                <w:numId w:val="19"/>
              </w:numPr>
              <w:rPr>
                <w:rFonts w:asciiTheme="minorHAnsi" w:hAnsiTheme="minorHAnsi"/>
                <w:lang w:val="en-GB"/>
              </w:rPr>
            </w:pPr>
            <w:r w:rsidRPr="006A21E7">
              <w:rPr>
                <w:rFonts w:asciiTheme="minorHAnsi" w:hAnsiTheme="minorHAnsi"/>
                <w:lang w:val="en-GB"/>
              </w:rPr>
              <w:t xml:space="preserve">Assist the team in identifying </w:t>
            </w:r>
            <w:r w:rsidR="00F61C36" w:rsidRPr="006A21E7">
              <w:rPr>
                <w:rFonts w:asciiTheme="minorHAnsi" w:hAnsiTheme="minorHAnsi"/>
                <w:lang w:val="en-GB"/>
              </w:rPr>
              <w:t xml:space="preserve"> and sco</w:t>
            </w:r>
            <w:r w:rsidRPr="006A21E7">
              <w:rPr>
                <w:rFonts w:asciiTheme="minorHAnsi" w:hAnsiTheme="minorHAnsi"/>
                <w:lang w:val="en-GB"/>
              </w:rPr>
              <w:t>ping</w:t>
            </w:r>
            <w:r w:rsidR="00F61C36" w:rsidRPr="006A21E7">
              <w:rPr>
                <w:rFonts w:asciiTheme="minorHAnsi" w:hAnsiTheme="minorHAnsi"/>
                <w:lang w:val="en-GB"/>
              </w:rPr>
              <w:t xml:space="preserve"> good practices and innovative solutions</w:t>
            </w:r>
          </w:p>
        </w:tc>
        <w:tc>
          <w:tcPr>
            <w:tcW w:w="1005" w:type="dxa"/>
          </w:tcPr>
          <w:p w14:paraId="0E02DEFB" w14:textId="28C05CFF" w:rsidR="00F64BAA" w:rsidRPr="001B6350" w:rsidRDefault="00F64BAA" w:rsidP="00B65404">
            <w:pPr>
              <w:jc w:val="center"/>
              <w:rPr>
                <w:rFonts w:asciiTheme="minorHAnsi" w:hAnsiTheme="minorHAnsi" w:cs="Arial"/>
                <w:b/>
                <w:lang w:val="en-GB"/>
              </w:rPr>
            </w:pPr>
            <w:r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180DF784" w:rsidR="00783EF5" w:rsidRPr="00D91EE0" w:rsidRDefault="0086675A" w:rsidP="00D91EE0">
            <w:pPr>
              <w:rPr>
                <w:rFonts w:asciiTheme="minorHAnsi" w:hAnsiTheme="minorHAnsi"/>
                <w:b/>
                <w:bCs/>
                <w:lang w:val="en-GB"/>
              </w:rPr>
            </w:pPr>
            <w:r>
              <w:rPr>
                <w:rFonts w:asciiTheme="minorHAnsi" w:hAnsiTheme="minorHAnsi"/>
                <w:b/>
                <w:bCs/>
                <w:lang w:val="en-GB"/>
              </w:rPr>
              <w:t>Communications</w:t>
            </w:r>
          </w:p>
          <w:p w14:paraId="0F387E28" w14:textId="76843976" w:rsidR="0045455E" w:rsidRPr="006A21E7" w:rsidRDefault="006A21E7" w:rsidP="006A21E7">
            <w:pPr>
              <w:pStyle w:val="ListParagraph"/>
              <w:numPr>
                <w:ilvl w:val="0"/>
                <w:numId w:val="19"/>
              </w:numPr>
              <w:rPr>
                <w:rFonts w:asciiTheme="minorHAnsi" w:hAnsiTheme="minorHAnsi"/>
                <w:lang w:val="en-GB"/>
              </w:rPr>
            </w:pPr>
            <w:r w:rsidRPr="006A21E7">
              <w:rPr>
                <w:rFonts w:asciiTheme="minorHAnsi" w:hAnsiTheme="minorHAnsi"/>
                <w:lang w:val="en-GB"/>
              </w:rPr>
              <w:t>Assist in communicating the lessons and results from the various workstreams and support delivery of objectives for the Africa regional Climate and Forests workplan where requested.</w:t>
            </w:r>
          </w:p>
        </w:tc>
        <w:tc>
          <w:tcPr>
            <w:tcW w:w="1005" w:type="dxa"/>
          </w:tcPr>
          <w:p w14:paraId="6328C4F0" w14:textId="76BC74FB" w:rsidR="009502ED" w:rsidRPr="00D91EE0" w:rsidRDefault="009502ED" w:rsidP="00D91EE0">
            <w:pPr>
              <w:ind w:left="360"/>
              <w:rPr>
                <w:rFonts w:asciiTheme="minorHAnsi" w:hAnsiTheme="minorHAnsi"/>
                <w:b/>
                <w:bCs/>
                <w:lang w:val="en-GB"/>
              </w:rPr>
            </w:pPr>
            <w:r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4DFA151B" w14:textId="77777777" w:rsidR="007A5761" w:rsidRPr="007A5761" w:rsidRDefault="007A5761" w:rsidP="007A5761">
      <w:pPr>
        <w:pStyle w:val="Header"/>
        <w:jc w:val="both"/>
        <w:rPr>
          <w:rFonts w:asciiTheme="minorHAnsi" w:hAnsiTheme="minorHAnsi" w:cs="Arial"/>
          <w:sz w:val="20"/>
        </w:rPr>
      </w:pPr>
      <w:r w:rsidRPr="007A5761">
        <w:rPr>
          <w:rFonts w:asciiTheme="minorHAnsi" w:hAnsiTheme="minorHAnsi" w:cs="Arial"/>
          <w:sz w:val="20"/>
        </w:rPr>
        <w:t>Candidates must meet one of the following educational requirements:</w:t>
      </w:r>
    </w:p>
    <w:p w14:paraId="0E0879D7" w14:textId="77777777" w:rsidR="007A5761" w:rsidRPr="007A5761" w:rsidRDefault="007A5761" w:rsidP="007A5761">
      <w:pPr>
        <w:pStyle w:val="Header"/>
        <w:jc w:val="both"/>
        <w:rPr>
          <w:rFonts w:asciiTheme="minorHAnsi" w:hAnsiTheme="minorHAnsi" w:cs="Arial"/>
          <w:sz w:val="20"/>
        </w:rPr>
      </w:pPr>
    </w:p>
    <w:p w14:paraId="7636D617" w14:textId="6D6F2842" w:rsidR="007A5761" w:rsidRPr="007A5761" w:rsidRDefault="007A5761" w:rsidP="001B4335">
      <w:pPr>
        <w:pStyle w:val="Header"/>
        <w:numPr>
          <w:ilvl w:val="0"/>
          <w:numId w:val="29"/>
        </w:numPr>
        <w:jc w:val="both"/>
        <w:rPr>
          <w:rFonts w:asciiTheme="minorHAnsi" w:hAnsiTheme="minorHAnsi" w:cs="Arial"/>
          <w:sz w:val="20"/>
        </w:rPr>
      </w:pPr>
      <w:r w:rsidRPr="007A5761">
        <w:rPr>
          <w:rFonts w:asciiTheme="minorHAnsi" w:hAnsiTheme="minorHAnsi" w:cs="Arial"/>
          <w:sz w:val="20"/>
        </w:rPr>
        <w:t>currently in the final year of a Bachelor’s degree; or</w:t>
      </w:r>
    </w:p>
    <w:p w14:paraId="30C017E8" w14:textId="77777777" w:rsidR="007A5761" w:rsidRPr="007A5761" w:rsidRDefault="007A5761" w:rsidP="007A5761">
      <w:pPr>
        <w:pStyle w:val="Header"/>
        <w:jc w:val="both"/>
        <w:rPr>
          <w:rFonts w:asciiTheme="minorHAnsi" w:hAnsiTheme="minorHAnsi" w:cs="Arial"/>
          <w:sz w:val="20"/>
        </w:rPr>
      </w:pPr>
    </w:p>
    <w:p w14:paraId="5461FA51" w14:textId="52D957A4" w:rsidR="007A5761" w:rsidRPr="007A5761" w:rsidRDefault="007A5761" w:rsidP="001B4335">
      <w:pPr>
        <w:pStyle w:val="Header"/>
        <w:numPr>
          <w:ilvl w:val="0"/>
          <w:numId w:val="29"/>
        </w:numPr>
        <w:jc w:val="both"/>
        <w:rPr>
          <w:rFonts w:asciiTheme="minorHAnsi" w:hAnsiTheme="minorHAnsi" w:cs="Arial"/>
          <w:sz w:val="20"/>
        </w:rPr>
      </w:pPr>
      <w:r w:rsidRPr="007A5761">
        <w:rPr>
          <w:rFonts w:asciiTheme="minorHAnsi" w:hAnsiTheme="minorHAnsi" w:cs="Arial"/>
          <w:sz w:val="20"/>
        </w:rPr>
        <w:t>currently enrolled in a postgraduate programme (such as a Master’s programme or higher); or</w:t>
      </w:r>
    </w:p>
    <w:p w14:paraId="4DCCE9DD" w14:textId="77777777" w:rsidR="007A5761" w:rsidRPr="007A5761" w:rsidRDefault="007A5761" w:rsidP="007A5761">
      <w:pPr>
        <w:pStyle w:val="Header"/>
        <w:jc w:val="both"/>
        <w:rPr>
          <w:rFonts w:asciiTheme="minorHAnsi" w:hAnsiTheme="minorHAnsi" w:cs="Arial"/>
          <w:sz w:val="20"/>
        </w:rPr>
      </w:pPr>
    </w:p>
    <w:p w14:paraId="2D164F95" w14:textId="770415D4" w:rsidR="00D70AF4" w:rsidRDefault="007A5761" w:rsidP="001B4335">
      <w:pPr>
        <w:pStyle w:val="Header"/>
        <w:numPr>
          <w:ilvl w:val="0"/>
          <w:numId w:val="29"/>
        </w:numPr>
        <w:jc w:val="both"/>
        <w:rPr>
          <w:rFonts w:asciiTheme="minorHAnsi" w:hAnsiTheme="minorHAnsi" w:cs="Arial"/>
          <w:sz w:val="20"/>
        </w:rPr>
      </w:pPr>
      <w:r w:rsidRPr="007A5761">
        <w:rPr>
          <w:rFonts w:asciiTheme="minorHAnsi" w:hAnsiTheme="minorHAnsi" w:cs="Arial"/>
          <w:sz w:val="20"/>
        </w:rPr>
        <w:t>have graduated no longer than 1 year ago from a university degree or equivalent studies.</w:t>
      </w:r>
    </w:p>
    <w:p w14:paraId="042FDECF" w14:textId="77777777" w:rsidR="001B4335" w:rsidRDefault="001B4335" w:rsidP="001B4335">
      <w:pPr>
        <w:ind w:left="360"/>
        <w:rPr>
          <w:rFonts w:asciiTheme="minorHAnsi" w:hAnsiTheme="minorHAnsi" w:cs="Arial"/>
        </w:rPr>
      </w:pPr>
    </w:p>
    <w:p w14:paraId="716F275E" w14:textId="7CCA9E82" w:rsidR="00D70AF4" w:rsidRPr="001B4335" w:rsidRDefault="00D70AF4" w:rsidP="001B4335">
      <w:pPr>
        <w:ind w:left="360"/>
        <w:rPr>
          <w:rFonts w:asciiTheme="minorHAnsi" w:hAnsiTheme="minorHAnsi" w:cs="Arial"/>
        </w:rPr>
      </w:pPr>
      <w:r w:rsidRPr="001B4335">
        <w:rPr>
          <w:rFonts w:asciiTheme="minorHAnsi" w:hAnsiTheme="minorHAnsi" w:cs="Arial"/>
        </w:rPr>
        <w:t xml:space="preserve">Field of study: </w:t>
      </w:r>
      <w:sdt>
        <w:sdtPr>
          <w:id w:val="-2093611389"/>
          <w:placeholder>
            <w:docPart w:val="636A7E21DB0140429D74C9014580FBC4"/>
          </w:placeholder>
        </w:sdtPr>
        <w:sdtContent>
          <w:sdt>
            <w:sdtPr>
              <w:id w:val="1987887401"/>
              <w:placeholder>
                <w:docPart w:val="D128F7C962604571A08A76968C585036"/>
              </w:placeholder>
            </w:sdtPr>
            <w:sdtContent>
              <w:r w:rsidR="0043103D" w:rsidRPr="001B4335">
                <w:rPr>
                  <w:rFonts w:asciiTheme="minorHAnsi" w:hAnsiTheme="minorHAnsi" w:cs="Arial"/>
                </w:rPr>
                <w:t xml:space="preserve">Master’s degree </w:t>
              </w:r>
              <w:r w:rsidR="00CA238F" w:rsidRPr="001B4335">
                <w:rPr>
                  <w:rFonts w:asciiTheme="minorHAnsi" w:hAnsiTheme="minorHAnsi" w:cs="Arial"/>
                </w:rPr>
                <w:t xml:space="preserve">in environmental management, </w:t>
              </w:r>
              <w:r w:rsidR="002964AE" w:rsidRPr="001B4335">
                <w:rPr>
                  <w:rFonts w:asciiTheme="minorHAnsi" w:hAnsiTheme="minorHAnsi" w:cs="Arial"/>
                </w:rPr>
                <w:t xml:space="preserve">forests, climate change, </w:t>
              </w:r>
              <w:r w:rsidR="00CA238F" w:rsidRPr="001B4335">
                <w:rPr>
                  <w:rFonts w:asciiTheme="minorHAnsi" w:hAnsiTheme="minorHAnsi" w:cs="Arial"/>
                </w:rPr>
                <w:t>international development, public policy and/or a closely related field</w:t>
              </w:r>
            </w:sdtContent>
          </w:sdt>
        </w:sdtContent>
      </w:sdt>
      <w:r w:rsidRPr="001B4335">
        <w:rPr>
          <w:rFonts w:asciiTheme="minorHAnsi" w:hAnsiTheme="minorHAnsi" w:cs="Arial"/>
        </w:rPr>
        <w:t xml:space="preserve"> or equivalent.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0611EED9" w:rsidR="004300EB" w:rsidRPr="00135960" w:rsidRDefault="00F67388"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2E17C98F"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F67388">
        <w:rPr>
          <w:rFonts w:asciiTheme="minorHAnsi" w:hAnsiTheme="minorHAnsi" w:cs="Arial"/>
          <w:sz w:val="20"/>
        </w:rPr>
        <w:t>French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1952FB">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F5E5D" w14:textId="77777777" w:rsidR="001952FB" w:rsidRDefault="001952FB">
      <w:r>
        <w:separator/>
      </w:r>
    </w:p>
  </w:endnote>
  <w:endnote w:type="continuationSeparator" w:id="0">
    <w:p w14:paraId="36D54050" w14:textId="77777777" w:rsidR="001952FB" w:rsidRDefault="00195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099CF" w14:textId="77777777" w:rsidR="001952FB" w:rsidRDefault="001952FB">
      <w:r>
        <w:separator/>
      </w:r>
    </w:p>
  </w:footnote>
  <w:footnote w:type="continuationSeparator" w:id="0">
    <w:p w14:paraId="10CE406E" w14:textId="77777777" w:rsidR="001952FB" w:rsidRDefault="00195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41669"/>
    <w:multiLevelType w:val="hybridMultilevel"/>
    <w:tmpl w:val="F3DE0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895FAA"/>
    <w:multiLevelType w:val="hybridMultilevel"/>
    <w:tmpl w:val="A7B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1A0DAD"/>
    <w:multiLevelType w:val="hybridMultilevel"/>
    <w:tmpl w:val="8FF40D54"/>
    <w:lvl w:ilvl="0" w:tplc="E556B468">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BD38FB"/>
    <w:multiLevelType w:val="hybridMultilevel"/>
    <w:tmpl w:val="0EB0F82C"/>
    <w:lvl w:ilvl="0" w:tplc="778E2252">
      <w:numFmt w:val="bullet"/>
      <w:lvlText w:val="•"/>
      <w:lvlJc w:val="left"/>
      <w:pPr>
        <w:ind w:left="1080" w:hanging="72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3C3F08"/>
    <w:multiLevelType w:val="hybridMultilevel"/>
    <w:tmpl w:val="9F4A5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004295">
    <w:abstractNumId w:val="14"/>
  </w:num>
  <w:num w:numId="2" w16cid:durableId="1169250966">
    <w:abstractNumId w:val="21"/>
  </w:num>
  <w:num w:numId="3" w16cid:durableId="195431399">
    <w:abstractNumId w:val="5"/>
  </w:num>
  <w:num w:numId="4" w16cid:durableId="1348797996">
    <w:abstractNumId w:val="11"/>
  </w:num>
  <w:num w:numId="5" w16cid:durableId="1438983312">
    <w:abstractNumId w:val="19"/>
  </w:num>
  <w:num w:numId="6" w16cid:durableId="1770004342">
    <w:abstractNumId w:val="17"/>
  </w:num>
  <w:num w:numId="7" w16cid:durableId="485898138">
    <w:abstractNumId w:val="23"/>
  </w:num>
  <w:num w:numId="8" w16cid:durableId="278922662">
    <w:abstractNumId w:val="8"/>
  </w:num>
  <w:num w:numId="9" w16cid:durableId="740979157">
    <w:abstractNumId w:val="24"/>
  </w:num>
  <w:num w:numId="10" w16cid:durableId="805974066">
    <w:abstractNumId w:val="0"/>
  </w:num>
  <w:num w:numId="11" w16cid:durableId="15352758">
    <w:abstractNumId w:val="12"/>
  </w:num>
  <w:num w:numId="12" w16cid:durableId="894008692">
    <w:abstractNumId w:val="6"/>
  </w:num>
  <w:num w:numId="13" w16cid:durableId="1128160723">
    <w:abstractNumId w:val="22"/>
  </w:num>
  <w:num w:numId="14" w16cid:durableId="269165226">
    <w:abstractNumId w:val="3"/>
  </w:num>
  <w:num w:numId="15" w16cid:durableId="514265904">
    <w:abstractNumId w:val="18"/>
  </w:num>
  <w:num w:numId="16" w16cid:durableId="829521779">
    <w:abstractNumId w:val="16"/>
  </w:num>
  <w:num w:numId="17" w16cid:durableId="761217850">
    <w:abstractNumId w:val="4"/>
  </w:num>
  <w:num w:numId="18" w16cid:durableId="684097366">
    <w:abstractNumId w:val="2"/>
  </w:num>
  <w:num w:numId="19" w16cid:durableId="2017875930">
    <w:abstractNumId w:val="7"/>
  </w:num>
  <w:num w:numId="20" w16cid:durableId="1676570038">
    <w:abstractNumId w:val="13"/>
  </w:num>
  <w:num w:numId="21" w16cid:durableId="2057267375">
    <w:abstractNumId w:val="27"/>
  </w:num>
  <w:num w:numId="22" w16cid:durableId="932325050">
    <w:abstractNumId w:val="15"/>
  </w:num>
  <w:num w:numId="23" w16cid:durableId="157231179">
    <w:abstractNumId w:val="10"/>
  </w:num>
  <w:num w:numId="24" w16cid:durableId="1951936766">
    <w:abstractNumId w:val="25"/>
  </w:num>
  <w:num w:numId="25" w16cid:durableId="8526622">
    <w:abstractNumId w:val="28"/>
  </w:num>
  <w:num w:numId="26" w16cid:durableId="902568085">
    <w:abstractNumId w:val="26"/>
  </w:num>
  <w:num w:numId="27" w16cid:durableId="1588877941">
    <w:abstractNumId w:val="1"/>
  </w:num>
  <w:num w:numId="28" w16cid:durableId="939991748">
    <w:abstractNumId w:val="20"/>
  </w:num>
  <w:num w:numId="29" w16cid:durableId="17831894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B6014"/>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18CD"/>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52FB"/>
    <w:rsid w:val="001966A9"/>
    <w:rsid w:val="001A1BF5"/>
    <w:rsid w:val="001A1C2A"/>
    <w:rsid w:val="001A4515"/>
    <w:rsid w:val="001A48AA"/>
    <w:rsid w:val="001A7159"/>
    <w:rsid w:val="001B37D8"/>
    <w:rsid w:val="001B4335"/>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964AE"/>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473AF"/>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24EA"/>
    <w:rsid w:val="003D52ED"/>
    <w:rsid w:val="003F35C2"/>
    <w:rsid w:val="003F47AD"/>
    <w:rsid w:val="00400665"/>
    <w:rsid w:val="004020C9"/>
    <w:rsid w:val="004075BD"/>
    <w:rsid w:val="00413B1F"/>
    <w:rsid w:val="00414B5C"/>
    <w:rsid w:val="004151A6"/>
    <w:rsid w:val="004219A3"/>
    <w:rsid w:val="0042396C"/>
    <w:rsid w:val="004300EB"/>
    <w:rsid w:val="0043103D"/>
    <w:rsid w:val="00431887"/>
    <w:rsid w:val="00435B34"/>
    <w:rsid w:val="00443590"/>
    <w:rsid w:val="004451E2"/>
    <w:rsid w:val="00445796"/>
    <w:rsid w:val="00446FF5"/>
    <w:rsid w:val="00450C69"/>
    <w:rsid w:val="00451CA1"/>
    <w:rsid w:val="00453BEC"/>
    <w:rsid w:val="0045455E"/>
    <w:rsid w:val="00462A90"/>
    <w:rsid w:val="00463DB9"/>
    <w:rsid w:val="0046730B"/>
    <w:rsid w:val="00467F53"/>
    <w:rsid w:val="0048459C"/>
    <w:rsid w:val="00485875"/>
    <w:rsid w:val="00491CAE"/>
    <w:rsid w:val="0049484C"/>
    <w:rsid w:val="004A2A95"/>
    <w:rsid w:val="004A3FB6"/>
    <w:rsid w:val="004B209F"/>
    <w:rsid w:val="004B596F"/>
    <w:rsid w:val="004C0414"/>
    <w:rsid w:val="004C10BB"/>
    <w:rsid w:val="004C1F67"/>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67E78"/>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6AF"/>
    <w:rsid w:val="005F6F38"/>
    <w:rsid w:val="00603B6D"/>
    <w:rsid w:val="00612010"/>
    <w:rsid w:val="00617B12"/>
    <w:rsid w:val="0063282F"/>
    <w:rsid w:val="00632DFE"/>
    <w:rsid w:val="00633067"/>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21E7"/>
    <w:rsid w:val="006A3F94"/>
    <w:rsid w:val="006A5B9B"/>
    <w:rsid w:val="006C139F"/>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0930"/>
    <w:rsid w:val="007A3AF1"/>
    <w:rsid w:val="007A576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35A"/>
    <w:rsid w:val="007F5D82"/>
    <w:rsid w:val="00805514"/>
    <w:rsid w:val="00815F35"/>
    <w:rsid w:val="00816F1D"/>
    <w:rsid w:val="00820FBA"/>
    <w:rsid w:val="0082205D"/>
    <w:rsid w:val="00830760"/>
    <w:rsid w:val="00836073"/>
    <w:rsid w:val="00840EE2"/>
    <w:rsid w:val="00847E47"/>
    <w:rsid w:val="0085273C"/>
    <w:rsid w:val="0086675A"/>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96FCD"/>
    <w:rsid w:val="00AA211C"/>
    <w:rsid w:val="00AC365A"/>
    <w:rsid w:val="00AC4F73"/>
    <w:rsid w:val="00AE11A7"/>
    <w:rsid w:val="00AE467E"/>
    <w:rsid w:val="00AF4FF8"/>
    <w:rsid w:val="00AF7369"/>
    <w:rsid w:val="00AF769E"/>
    <w:rsid w:val="00B001DC"/>
    <w:rsid w:val="00B02497"/>
    <w:rsid w:val="00B07E49"/>
    <w:rsid w:val="00B12895"/>
    <w:rsid w:val="00B12B04"/>
    <w:rsid w:val="00B25EA5"/>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17B0"/>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238F"/>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479D4"/>
    <w:rsid w:val="00D51483"/>
    <w:rsid w:val="00D522CE"/>
    <w:rsid w:val="00D53E47"/>
    <w:rsid w:val="00D60425"/>
    <w:rsid w:val="00D653FF"/>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EF5A66"/>
    <w:rsid w:val="00F06AD3"/>
    <w:rsid w:val="00F11DAF"/>
    <w:rsid w:val="00F141A1"/>
    <w:rsid w:val="00F1443F"/>
    <w:rsid w:val="00F20631"/>
    <w:rsid w:val="00F24D21"/>
    <w:rsid w:val="00F31801"/>
    <w:rsid w:val="00F36D1E"/>
    <w:rsid w:val="00F509C3"/>
    <w:rsid w:val="00F5317C"/>
    <w:rsid w:val="00F53F2B"/>
    <w:rsid w:val="00F5654C"/>
    <w:rsid w:val="00F61C36"/>
    <w:rsid w:val="00F629E4"/>
    <w:rsid w:val="00F632CF"/>
    <w:rsid w:val="00F64BAA"/>
    <w:rsid w:val="00F66652"/>
    <w:rsid w:val="00F67370"/>
    <w:rsid w:val="00F67388"/>
    <w:rsid w:val="00F7154A"/>
    <w:rsid w:val="00F71D0D"/>
    <w:rsid w:val="00F72600"/>
    <w:rsid w:val="00F777C7"/>
    <w:rsid w:val="00F86B17"/>
    <w:rsid w:val="00F92FA3"/>
    <w:rsid w:val="00F95220"/>
    <w:rsid w:val="00F957A9"/>
    <w:rsid w:val="00F97479"/>
    <w:rsid w:val="00FA0F17"/>
    <w:rsid w:val="00FA387F"/>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6134">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466630"/>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C83D500D-D0E1-4C2A-806B-25CA3E728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1269</Words>
  <Characters>7239</Characters>
  <Application>Microsoft Office Word</Application>
  <DocSecurity>0</DocSecurity>
  <Lines>60</Lines>
  <Paragraphs>16</Paragraphs>
  <ScaleCrop>false</ScaleCrop>
  <Company>UNDP/IAPSO</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16</cp:revision>
  <dcterms:created xsi:type="dcterms:W3CDTF">2024-02-12T12:33:00Z</dcterms:created>
  <dcterms:modified xsi:type="dcterms:W3CDTF">2024-03-05T10:05:00Z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