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656466CC" w14:textId="32257DA9" w:rsidR="00D351C6" w:rsidRPr="00D351C6" w:rsidRDefault="00D351C6" w:rsidP="00B24BB2">
      <w:pPr>
        <w:tabs>
          <w:tab w:val="left" w:pos="2694"/>
        </w:tabs>
        <w:spacing w:after="120"/>
        <w:ind w:left="2694" w:hanging="2694"/>
        <w:rPr>
          <w:rFonts w:asciiTheme="minorHAnsi" w:hAnsiTheme="minorHAnsi" w:cstheme="minorHAnsi"/>
          <w:bCs/>
          <w:lang w:val="en-US"/>
        </w:rPr>
      </w:pPr>
      <w:r>
        <w:rPr>
          <w:rFonts w:asciiTheme="minorHAnsi" w:hAnsiTheme="minorHAnsi" w:cstheme="minorHAnsi"/>
          <w:b/>
          <w:lang w:val="en-US"/>
        </w:rPr>
        <w:t xml:space="preserve">Duration: </w:t>
      </w:r>
      <w:r>
        <w:rPr>
          <w:rFonts w:asciiTheme="minorHAnsi" w:hAnsiTheme="minorHAnsi" w:cstheme="minorHAnsi"/>
          <w:b/>
          <w:lang w:val="en-US"/>
        </w:rPr>
        <w:tab/>
      </w:r>
      <w:r w:rsidRPr="00D351C6">
        <w:rPr>
          <w:rFonts w:asciiTheme="minorHAnsi" w:hAnsiTheme="minorHAnsi" w:cstheme="minorHAnsi"/>
          <w:bCs/>
          <w:lang w:val="en-US"/>
        </w:rPr>
        <w:t>12 months</w:t>
      </w:r>
    </w:p>
    <w:p w14:paraId="0028D776" w14:textId="3124A1EA" w:rsidR="00B24BB2" w:rsidRPr="003A4A81" w:rsidRDefault="00B24BB2" w:rsidP="00B24BB2">
      <w:pPr>
        <w:tabs>
          <w:tab w:val="left" w:pos="2694"/>
        </w:tabs>
        <w:spacing w:after="120"/>
        <w:ind w:left="2694" w:hanging="2694"/>
        <w:rPr>
          <w:rFonts w:asciiTheme="minorHAnsi" w:hAnsiTheme="minorHAnsi" w:cstheme="minorHAnsi"/>
          <w:bCs/>
          <w:lang w:val="en-GB"/>
        </w:rPr>
      </w:pPr>
      <w:r w:rsidRPr="00840C21">
        <w:rPr>
          <w:rFonts w:asciiTheme="minorHAnsi" w:hAnsiTheme="minorHAnsi" w:cstheme="minorHAnsi"/>
          <w:b/>
          <w:lang w:val="en-US"/>
        </w:rPr>
        <w:t xml:space="preserve">Title: </w:t>
      </w:r>
      <w:r>
        <w:rPr>
          <w:rFonts w:asciiTheme="minorHAnsi" w:hAnsiTheme="minorHAnsi" w:cstheme="minorHAnsi"/>
          <w:b/>
          <w:lang w:val="en-US"/>
        </w:rPr>
        <w:tab/>
      </w:r>
      <w:r w:rsidR="003A4A81" w:rsidRPr="003A4A81">
        <w:rPr>
          <w:rFonts w:asciiTheme="minorHAnsi" w:hAnsiTheme="minorHAnsi" w:cstheme="minorHAnsi"/>
          <w:bCs/>
          <w:lang w:val="en-US"/>
        </w:rPr>
        <w:t xml:space="preserve">Trainee </w:t>
      </w:r>
      <w:r w:rsidRPr="003A4A81">
        <w:rPr>
          <w:rFonts w:asciiTheme="minorHAnsi" w:hAnsiTheme="minorHAnsi" w:cstheme="minorHAnsi"/>
          <w:bCs/>
          <w:lang w:val="en-US"/>
        </w:rPr>
        <w:t xml:space="preserve">– Grants management - </w:t>
      </w:r>
      <w:r w:rsidRPr="003A4A81">
        <w:rPr>
          <w:rFonts w:asciiTheme="minorHAnsi" w:hAnsiTheme="minorHAnsi" w:cstheme="minorHAnsi"/>
          <w:shd w:val="clear" w:color="auto" w:fill="FFFFFF"/>
          <w:lang w:val="en-GB"/>
        </w:rPr>
        <w:t>Donor Due Diligence and Audits</w:t>
      </w:r>
    </w:p>
    <w:p w14:paraId="71BC23EF" w14:textId="5A3B60E2" w:rsidR="00B24BB2" w:rsidRPr="003A4A81" w:rsidRDefault="00B24BB2" w:rsidP="003A4A81">
      <w:pPr>
        <w:tabs>
          <w:tab w:val="left" w:pos="2694"/>
        </w:tabs>
        <w:ind w:left="2694" w:hanging="2694"/>
        <w:rPr>
          <w:rFonts w:asciiTheme="minorHAnsi" w:hAnsiTheme="minorHAnsi" w:cstheme="minorHAnsi"/>
          <w:bCs/>
          <w:lang w:val="en-US"/>
        </w:rPr>
      </w:pPr>
      <w:r w:rsidRPr="003A4A81">
        <w:rPr>
          <w:rFonts w:asciiTheme="minorHAnsi" w:hAnsiTheme="minorHAnsi" w:cstheme="minorHAnsi"/>
          <w:b/>
          <w:lang w:val="en-US"/>
        </w:rPr>
        <w:t>Organizational Unit:</w:t>
      </w:r>
      <w:r w:rsidRPr="003A4A81">
        <w:rPr>
          <w:rFonts w:asciiTheme="minorHAnsi" w:hAnsiTheme="minorHAnsi" w:cstheme="minorHAnsi"/>
          <w:b/>
          <w:lang w:val="en-US"/>
        </w:rPr>
        <w:tab/>
      </w:r>
      <w:bookmarkStart w:id="0" w:name="_Hlk152007526"/>
      <w:r w:rsidRPr="003A4A81">
        <w:rPr>
          <w:rFonts w:asciiTheme="minorHAnsi" w:hAnsiTheme="minorHAnsi" w:cstheme="minorHAnsi"/>
          <w:shd w:val="clear" w:color="auto" w:fill="FFFFFF"/>
          <w:lang w:val="en-GB"/>
        </w:rPr>
        <w:t>Bureau of Strategic Planning</w:t>
      </w:r>
      <w:r w:rsidRPr="003A4A81">
        <w:rPr>
          <w:rFonts w:asciiTheme="minorHAnsi" w:hAnsiTheme="minorHAnsi" w:cstheme="minorHAnsi"/>
          <w:bCs/>
          <w:lang w:val="en-US"/>
        </w:rPr>
        <w:t xml:space="preserve">, </w:t>
      </w:r>
      <w:r w:rsidRPr="003A4A81">
        <w:rPr>
          <w:rFonts w:asciiTheme="minorHAnsi" w:hAnsiTheme="minorHAnsi" w:cstheme="minorHAnsi"/>
          <w:shd w:val="clear" w:color="auto" w:fill="FFFFFF"/>
          <w:lang w:val="en-GB"/>
        </w:rPr>
        <w:t xml:space="preserve">Division for Partnerships, Section for Grants and Resource Management, </w:t>
      </w:r>
      <w:r w:rsidR="003A4A81">
        <w:rPr>
          <w:rFonts w:asciiTheme="minorHAnsi" w:hAnsiTheme="minorHAnsi" w:cstheme="minorHAnsi"/>
          <w:bCs/>
          <w:lang w:val="en-US"/>
        </w:rPr>
        <w:t>D</w:t>
      </w:r>
      <w:proofErr w:type="spellStart"/>
      <w:r w:rsidRPr="003A4A81">
        <w:rPr>
          <w:rFonts w:asciiTheme="minorHAnsi" w:hAnsiTheme="minorHAnsi" w:cstheme="minorHAnsi"/>
          <w:shd w:val="clear" w:color="auto" w:fill="FFFFFF"/>
          <w:lang w:val="en-GB"/>
        </w:rPr>
        <w:t>onor</w:t>
      </w:r>
      <w:proofErr w:type="spellEnd"/>
      <w:r w:rsidRPr="003A4A81">
        <w:rPr>
          <w:rFonts w:asciiTheme="minorHAnsi" w:hAnsiTheme="minorHAnsi" w:cstheme="minorHAnsi"/>
          <w:shd w:val="clear" w:color="auto" w:fill="FFFFFF"/>
          <w:lang w:val="en-GB"/>
        </w:rPr>
        <w:t xml:space="preserve"> Due Diligence and Audits Unit</w:t>
      </w:r>
      <w:r w:rsidR="003A4A81">
        <w:rPr>
          <w:rFonts w:asciiTheme="minorHAnsi" w:hAnsiTheme="minorHAnsi" w:cstheme="minorHAnsi"/>
          <w:shd w:val="clear" w:color="auto" w:fill="FFFFFF"/>
          <w:lang w:val="en-GB"/>
        </w:rPr>
        <w:t xml:space="preserve"> (</w:t>
      </w:r>
      <w:r w:rsidR="003A4A81" w:rsidRPr="003A4A81">
        <w:rPr>
          <w:rFonts w:asciiTheme="minorHAnsi" w:hAnsiTheme="minorHAnsi" w:cstheme="minorHAnsi"/>
          <w:bCs/>
          <w:lang w:val="en-US"/>
        </w:rPr>
        <w:t>BSP/DPA/GMR/DDA</w:t>
      </w:r>
      <w:r w:rsidR="003A4A81">
        <w:rPr>
          <w:rFonts w:asciiTheme="minorHAnsi" w:hAnsiTheme="minorHAnsi" w:cstheme="minorHAnsi"/>
          <w:bCs/>
          <w:lang w:val="en-US"/>
        </w:rPr>
        <w:t>)</w:t>
      </w:r>
      <w:bookmarkEnd w:id="0"/>
    </w:p>
    <w:p w14:paraId="269574FD" w14:textId="385F1A0C" w:rsidR="00B24BB2" w:rsidRPr="003A4A81" w:rsidRDefault="00B24BB2" w:rsidP="00B24BB2">
      <w:pPr>
        <w:tabs>
          <w:tab w:val="left" w:pos="2694"/>
        </w:tabs>
        <w:spacing w:after="120"/>
        <w:ind w:left="2694" w:hanging="2694"/>
        <w:rPr>
          <w:rFonts w:asciiTheme="minorHAnsi" w:hAnsiTheme="minorHAnsi" w:cstheme="minorHAnsi"/>
          <w:b/>
          <w:lang w:val="en-US"/>
        </w:rPr>
      </w:pPr>
      <w:r w:rsidRPr="003A4A81">
        <w:rPr>
          <w:rFonts w:asciiTheme="minorHAnsi" w:hAnsiTheme="minorHAnsi" w:cstheme="minorHAnsi"/>
          <w:b/>
          <w:lang w:val="en-US"/>
        </w:rPr>
        <w:t>Duty Station:</w:t>
      </w:r>
      <w:r w:rsidRPr="003A4A81">
        <w:rPr>
          <w:rFonts w:asciiTheme="minorHAnsi" w:hAnsiTheme="minorHAnsi" w:cstheme="minorHAnsi"/>
          <w:b/>
          <w:lang w:val="en-US"/>
        </w:rPr>
        <w:tab/>
      </w:r>
      <w:r w:rsidRPr="003A4A81">
        <w:rPr>
          <w:rFonts w:asciiTheme="minorHAnsi" w:hAnsiTheme="minorHAnsi" w:cstheme="minorHAnsi"/>
          <w:bCs/>
          <w:lang w:val="en-US"/>
        </w:rPr>
        <w:t>Paris, France</w:t>
      </w:r>
    </w:p>
    <w:p w14:paraId="271FFE04" w14:textId="0384874B" w:rsidR="008D3543" w:rsidRPr="003A4A81" w:rsidRDefault="008D3543" w:rsidP="00B24BB2">
      <w:pPr>
        <w:tabs>
          <w:tab w:val="left" w:pos="2694"/>
        </w:tabs>
        <w:spacing w:after="120"/>
        <w:ind w:left="2694" w:hanging="2694"/>
        <w:rPr>
          <w:rFonts w:asciiTheme="minorHAnsi" w:hAnsiTheme="minorHAnsi"/>
          <w:b/>
          <w:lang w:val="en-US"/>
        </w:rPr>
      </w:pPr>
      <w:r w:rsidRPr="003A4A81">
        <w:rPr>
          <w:rFonts w:asciiTheme="minorHAnsi" w:hAnsiTheme="minorHAnsi"/>
          <w:b/>
          <w:lang w:val="en-US"/>
        </w:rPr>
        <w:t xml:space="preserve">Supervisor (name, title): </w:t>
      </w:r>
      <w:r w:rsidR="00B24BB2" w:rsidRPr="003A4A81">
        <w:rPr>
          <w:rFonts w:asciiTheme="minorHAnsi" w:hAnsiTheme="minorHAnsi"/>
          <w:b/>
          <w:lang w:val="en-US"/>
        </w:rPr>
        <w:tab/>
      </w:r>
      <w:r w:rsidR="00B24BB2" w:rsidRPr="003A4A81">
        <w:rPr>
          <w:rFonts w:asciiTheme="minorHAnsi" w:hAnsiTheme="minorHAnsi" w:cstheme="minorHAnsi"/>
          <w:bCs/>
          <w:lang w:val="en-US"/>
        </w:rPr>
        <w:t>Samantha Gardiner, Head of Unit</w:t>
      </w:r>
    </w:p>
    <w:p w14:paraId="1D70976F" w14:textId="1BC91A93" w:rsidR="008D3543" w:rsidRDefault="008D3543" w:rsidP="00CF4122">
      <w:pPr>
        <w:pStyle w:val="En-tte"/>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5CF2F2BF" w14:textId="74D49914" w:rsidR="005A45E9" w:rsidRPr="003A4A81" w:rsidRDefault="005A45E9" w:rsidP="005A45E9">
      <w:pPr>
        <w:spacing w:after="120"/>
        <w:rPr>
          <w:rFonts w:asciiTheme="minorHAnsi" w:hAnsiTheme="minorHAnsi" w:cstheme="minorHAnsi"/>
          <w:i/>
          <w:lang w:val="en-US"/>
        </w:rPr>
      </w:pPr>
      <w:r w:rsidRPr="003A4A81">
        <w:rPr>
          <w:rFonts w:asciiTheme="minorHAnsi" w:hAnsiTheme="minorHAnsi" w:cstheme="minorHAnsi"/>
          <w:lang w:val="en-US"/>
        </w:rPr>
        <w:t xml:space="preserve">Under the guidance of the Head of the Unit, the </w:t>
      </w:r>
      <w:r w:rsidR="003A4A81" w:rsidRPr="003A4A81">
        <w:rPr>
          <w:rFonts w:asciiTheme="minorHAnsi" w:hAnsiTheme="minorHAnsi" w:cstheme="minorHAnsi"/>
          <w:lang w:val="en-US"/>
        </w:rPr>
        <w:t>trainee</w:t>
      </w:r>
      <w:r w:rsidRPr="003A4A81">
        <w:rPr>
          <w:rFonts w:asciiTheme="minorHAnsi" w:hAnsiTheme="minorHAnsi" w:cstheme="minorHAnsi"/>
          <w:lang w:val="en-US"/>
        </w:rPr>
        <w:t xml:space="preserve"> will be responsible for:</w:t>
      </w:r>
    </w:p>
    <w:p w14:paraId="6F576AA4" w14:textId="77777777" w:rsidR="005A45E9" w:rsidRPr="003A4A81" w:rsidRDefault="005A45E9" w:rsidP="005A45E9">
      <w:pPr>
        <w:pStyle w:val="Paragraphedeliste"/>
        <w:numPr>
          <w:ilvl w:val="0"/>
          <w:numId w:val="2"/>
        </w:numPr>
        <w:spacing w:after="120"/>
        <w:ind w:left="993" w:hanging="993"/>
        <w:rPr>
          <w:rFonts w:asciiTheme="minorHAnsi" w:hAnsiTheme="minorHAnsi" w:cstheme="minorHAnsi"/>
          <w:lang w:val="en-US"/>
        </w:rPr>
      </w:pPr>
      <w:bookmarkStart w:id="1" w:name="_Hlk152007051"/>
      <w:r w:rsidRPr="003A4A81">
        <w:rPr>
          <w:rFonts w:asciiTheme="minorHAnsi" w:hAnsiTheme="minorHAnsi" w:cstheme="minorHAnsi"/>
          <w:lang w:val="en-US"/>
        </w:rPr>
        <w:t>Supporting the coordination process of audits and verification missions of projects funded by voluntary contributions.  Which includes:</w:t>
      </w:r>
    </w:p>
    <w:p w14:paraId="07A30CF1" w14:textId="77777777"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lang w:val="en-US"/>
        </w:rPr>
        <w:t xml:space="preserve">Liaising with relevant sectors/services (e.g. BFM, HRM, IOS, etc.) to request supporting </w:t>
      </w:r>
      <w:proofErr w:type="gramStart"/>
      <w:r w:rsidRPr="003A4A81">
        <w:rPr>
          <w:rFonts w:asciiTheme="minorHAnsi" w:hAnsiTheme="minorHAnsi" w:cstheme="minorHAnsi"/>
          <w:lang w:val="en-US"/>
        </w:rPr>
        <w:t>documents;</w:t>
      </w:r>
      <w:proofErr w:type="gramEnd"/>
    </w:p>
    <w:p w14:paraId="15343AAB" w14:textId="77777777"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lang w:val="en-US"/>
        </w:rPr>
        <w:t>Reviewing supporting documentation to ensure that relevant and adequate documents are received to facilitate the review/audit process.</w:t>
      </w:r>
    </w:p>
    <w:p w14:paraId="0FBB5FAE" w14:textId="77777777" w:rsidR="005A45E9" w:rsidRPr="003A4A81" w:rsidRDefault="005A45E9" w:rsidP="005A45E9">
      <w:pPr>
        <w:pStyle w:val="Paragraphedeliste"/>
        <w:spacing w:after="120"/>
        <w:ind w:left="1350"/>
        <w:rPr>
          <w:rFonts w:asciiTheme="minorHAnsi" w:hAnsiTheme="minorHAnsi" w:cstheme="minorHAnsi"/>
          <w:lang w:val="en-US"/>
        </w:rPr>
      </w:pPr>
    </w:p>
    <w:p w14:paraId="22525A79" w14:textId="77777777" w:rsidR="005A45E9" w:rsidRPr="003A4A81" w:rsidRDefault="005A45E9" w:rsidP="005A45E9">
      <w:pPr>
        <w:pStyle w:val="Paragraphedeliste"/>
        <w:numPr>
          <w:ilvl w:val="0"/>
          <w:numId w:val="2"/>
        </w:numPr>
        <w:spacing w:after="120"/>
        <w:ind w:left="993" w:hanging="993"/>
        <w:rPr>
          <w:rFonts w:asciiTheme="minorHAnsi" w:hAnsiTheme="minorHAnsi" w:cstheme="minorHAnsi"/>
          <w:noProof/>
          <w:lang w:val="en-GB"/>
        </w:rPr>
      </w:pPr>
      <w:proofErr w:type="gramStart"/>
      <w:r w:rsidRPr="003A4A81">
        <w:rPr>
          <w:rFonts w:asciiTheme="minorHAnsi" w:hAnsiTheme="minorHAnsi" w:cstheme="minorHAnsi"/>
          <w:lang w:val="en-US"/>
        </w:rPr>
        <w:t>Providing assistance</w:t>
      </w:r>
      <w:proofErr w:type="gramEnd"/>
      <w:r w:rsidRPr="003A4A81">
        <w:rPr>
          <w:rFonts w:asciiTheme="minorHAnsi" w:hAnsiTheme="minorHAnsi" w:cstheme="minorHAnsi"/>
          <w:lang w:val="en-US"/>
        </w:rPr>
        <w:t xml:space="preserve"> in the preparation of </w:t>
      </w:r>
      <w:r w:rsidRPr="003A4A81">
        <w:rPr>
          <w:rFonts w:asciiTheme="minorHAnsi" w:hAnsiTheme="minorHAnsi" w:cstheme="minorHAnsi"/>
          <w:noProof/>
          <w:lang w:val="en-GB"/>
        </w:rPr>
        <w:t>responses to assessments and questions from donors:</w:t>
      </w:r>
    </w:p>
    <w:p w14:paraId="4C6599A4" w14:textId="77777777"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noProof/>
          <w:lang w:val="en-GB"/>
        </w:rPr>
        <w:t xml:space="preserve">Assisting </w:t>
      </w:r>
      <w:r w:rsidRPr="003A4A81">
        <w:rPr>
          <w:rFonts w:asciiTheme="minorHAnsi" w:hAnsiTheme="minorHAnsi" w:cstheme="minorHAnsi"/>
          <w:lang w:val="en-US"/>
        </w:rPr>
        <w:t xml:space="preserve">the Head of Unit in preparing responses to questions which form part of the donor's due diligence/assessment process of </w:t>
      </w:r>
      <w:proofErr w:type="gramStart"/>
      <w:r w:rsidRPr="003A4A81">
        <w:rPr>
          <w:rFonts w:asciiTheme="minorHAnsi" w:hAnsiTheme="minorHAnsi" w:cstheme="minorHAnsi"/>
          <w:lang w:val="en-US"/>
        </w:rPr>
        <w:t>UNESCO;</w:t>
      </w:r>
      <w:proofErr w:type="gramEnd"/>
    </w:p>
    <w:p w14:paraId="70C3FF91" w14:textId="3952C874"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lang w:val="en-US"/>
        </w:rPr>
        <w:t>Preparing correspondence to relevant sectors/services (e.g. ADM/PRO, LA, IOS, HRM, ETH, etc</w:t>
      </w:r>
      <w:r w:rsidR="00D351C6">
        <w:rPr>
          <w:rFonts w:asciiTheme="minorHAnsi" w:hAnsiTheme="minorHAnsi" w:cstheme="minorHAnsi"/>
          <w:lang w:val="en-US"/>
        </w:rPr>
        <w:t>.</w:t>
      </w:r>
      <w:r w:rsidRPr="003A4A81">
        <w:rPr>
          <w:rFonts w:asciiTheme="minorHAnsi" w:hAnsiTheme="minorHAnsi" w:cstheme="minorHAnsi"/>
          <w:lang w:val="en-US"/>
        </w:rPr>
        <w:t xml:space="preserve">) to obtain responses for issues under their </w:t>
      </w:r>
      <w:proofErr w:type="gramStart"/>
      <w:r w:rsidRPr="003A4A81">
        <w:rPr>
          <w:rFonts w:asciiTheme="minorHAnsi" w:hAnsiTheme="minorHAnsi" w:cstheme="minorHAnsi"/>
          <w:lang w:val="en-US"/>
        </w:rPr>
        <w:t>responsibility;</w:t>
      </w:r>
      <w:proofErr w:type="gramEnd"/>
    </w:p>
    <w:p w14:paraId="2A305975" w14:textId="77777777"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lang w:val="en-US"/>
        </w:rPr>
        <w:t>Maintaining a data</w:t>
      </w:r>
      <w:r w:rsidRPr="003A4A81">
        <w:rPr>
          <w:rFonts w:asciiTheme="minorHAnsi" w:hAnsiTheme="minorHAnsi" w:cstheme="minorHAnsi"/>
          <w:noProof/>
          <w:lang w:val="en-GB"/>
        </w:rPr>
        <w:t>base of frequently asked questions and responses, etc</w:t>
      </w:r>
    </w:p>
    <w:p w14:paraId="1BE4BA0B" w14:textId="77777777" w:rsidR="005A45E9" w:rsidRPr="003A4A81" w:rsidRDefault="005A45E9" w:rsidP="005A45E9">
      <w:pPr>
        <w:pStyle w:val="Paragraphedeliste"/>
        <w:spacing w:after="120"/>
        <w:rPr>
          <w:rFonts w:asciiTheme="minorHAnsi" w:hAnsiTheme="minorHAnsi" w:cstheme="minorHAnsi"/>
          <w:lang w:val="en-US"/>
        </w:rPr>
      </w:pPr>
    </w:p>
    <w:p w14:paraId="30C1F7FC" w14:textId="77777777" w:rsidR="005A45E9" w:rsidRPr="003A4A81" w:rsidRDefault="005A45E9" w:rsidP="005A45E9">
      <w:pPr>
        <w:pStyle w:val="Paragraphedeliste"/>
        <w:numPr>
          <w:ilvl w:val="0"/>
          <w:numId w:val="2"/>
        </w:numPr>
        <w:spacing w:after="120"/>
        <w:ind w:left="993" w:hanging="993"/>
        <w:rPr>
          <w:rFonts w:asciiTheme="minorHAnsi" w:hAnsiTheme="minorHAnsi" w:cstheme="minorHAnsi"/>
          <w:noProof/>
          <w:lang w:val="en-GB"/>
        </w:rPr>
      </w:pPr>
      <w:r w:rsidRPr="003A4A81">
        <w:rPr>
          <w:rFonts w:asciiTheme="minorHAnsi" w:hAnsiTheme="minorHAnsi" w:cstheme="minorHAnsi"/>
          <w:lang w:val="en-US"/>
        </w:rPr>
        <w:t xml:space="preserve">Supporting the preparation and update of </w:t>
      </w:r>
      <w:r w:rsidRPr="003A4A81">
        <w:rPr>
          <w:rFonts w:asciiTheme="minorHAnsi" w:hAnsiTheme="minorHAnsi" w:cstheme="minorHAnsi"/>
          <w:noProof/>
          <w:lang w:val="en-GB"/>
        </w:rPr>
        <w:t xml:space="preserve">communication material about DDAs </w:t>
      </w:r>
      <w:r w:rsidRPr="003A4A81">
        <w:rPr>
          <w:rFonts w:asciiTheme="minorHAnsi" w:hAnsiTheme="minorHAnsi" w:cstheme="minorHAnsi"/>
          <w:lang w:val="en-US"/>
        </w:rPr>
        <w:t>services</w:t>
      </w:r>
      <w:r w:rsidRPr="003A4A81">
        <w:rPr>
          <w:rFonts w:asciiTheme="minorHAnsi" w:hAnsiTheme="minorHAnsi" w:cstheme="minorHAnsi"/>
          <w:noProof/>
          <w:lang w:val="en-GB"/>
        </w:rPr>
        <w:t xml:space="preserve">: </w:t>
      </w:r>
    </w:p>
    <w:p w14:paraId="1C535D09" w14:textId="77777777"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lang w:val="en-US"/>
        </w:rPr>
        <w:t xml:space="preserve">Assisting the Head of Unit in updating guidelines, training material and presentation on donor audits and assessment </w:t>
      </w:r>
      <w:proofErr w:type="gramStart"/>
      <w:r w:rsidRPr="003A4A81">
        <w:rPr>
          <w:rFonts w:asciiTheme="minorHAnsi" w:hAnsiTheme="minorHAnsi" w:cstheme="minorHAnsi"/>
          <w:lang w:val="en-US"/>
        </w:rPr>
        <w:t>processes;</w:t>
      </w:r>
      <w:proofErr w:type="gramEnd"/>
    </w:p>
    <w:p w14:paraId="4524D79E" w14:textId="77777777" w:rsidR="005A45E9" w:rsidRPr="003A4A81" w:rsidRDefault="005A45E9" w:rsidP="005A45E9">
      <w:pPr>
        <w:pStyle w:val="Paragraphedeliste"/>
        <w:numPr>
          <w:ilvl w:val="1"/>
          <w:numId w:val="2"/>
        </w:numPr>
        <w:spacing w:after="120"/>
        <w:rPr>
          <w:rFonts w:asciiTheme="minorHAnsi" w:hAnsiTheme="minorHAnsi" w:cstheme="minorHAnsi"/>
          <w:lang w:val="en-US"/>
        </w:rPr>
      </w:pPr>
      <w:r w:rsidRPr="003A4A81">
        <w:rPr>
          <w:rFonts w:asciiTheme="minorHAnsi" w:hAnsiTheme="minorHAnsi" w:cstheme="minorHAnsi"/>
          <w:lang w:val="en-US"/>
        </w:rPr>
        <w:t xml:space="preserve">Updating related online </w:t>
      </w:r>
      <w:proofErr w:type="gramStart"/>
      <w:r w:rsidRPr="003A4A81">
        <w:rPr>
          <w:rFonts w:asciiTheme="minorHAnsi" w:hAnsiTheme="minorHAnsi" w:cstheme="minorHAnsi"/>
          <w:lang w:val="en-US"/>
        </w:rPr>
        <w:t>material;</w:t>
      </w:r>
      <w:proofErr w:type="gramEnd"/>
    </w:p>
    <w:p w14:paraId="3170AED4" w14:textId="77777777" w:rsidR="005A45E9" w:rsidRPr="003A4A81" w:rsidRDefault="005A45E9" w:rsidP="005A45E9">
      <w:pPr>
        <w:pStyle w:val="Paragraphedeliste"/>
        <w:numPr>
          <w:ilvl w:val="1"/>
          <w:numId w:val="2"/>
        </w:numPr>
        <w:spacing w:after="120"/>
        <w:rPr>
          <w:rFonts w:asciiTheme="minorHAnsi" w:hAnsiTheme="minorHAnsi" w:cstheme="minorHAnsi"/>
          <w:noProof/>
          <w:lang w:val="en-GB"/>
        </w:rPr>
      </w:pPr>
      <w:r w:rsidRPr="003A4A81">
        <w:rPr>
          <w:rFonts w:asciiTheme="minorHAnsi" w:hAnsiTheme="minorHAnsi" w:cstheme="minorHAnsi"/>
          <w:lang w:val="en-US"/>
        </w:rPr>
        <w:t>Preparing reports concerning donor audits and assessments</w:t>
      </w:r>
      <w:r w:rsidRPr="003A4A81">
        <w:rPr>
          <w:rFonts w:asciiTheme="minorHAnsi" w:hAnsiTheme="minorHAnsi" w:cstheme="minorHAnsi"/>
          <w:noProof/>
          <w:lang w:val="en-GB"/>
        </w:rPr>
        <w:t>.</w:t>
      </w:r>
    </w:p>
    <w:p w14:paraId="4AEFBA1B" w14:textId="77777777" w:rsidR="005A45E9" w:rsidRPr="003A4A81" w:rsidRDefault="005A45E9" w:rsidP="005A45E9">
      <w:pPr>
        <w:pStyle w:val="Paragraphedeliste"/>
        <w:spacing w:after="120"/>
        <w:ind w:left="1350"/>
        <w:rPr>
          <w:rFonts w:asciiTheme="minorHAnsi" w:hAnsiTheme="minorHAnsi" w:cstheme="minorHAnsi"/>
          <w:noProof/>
          <w:lang w:val="en-GB"/>
        </w:rPr>
      </w:pPr>
    </w:p>
    <w:p w14:paraId="69C37566" w14:textId="77777777" w:rsidR="005A45E9" w:rsidRPr="003A4A81" w:rsidRDefault="005A45E9" w:rsidP="005A45E9">
      <w:pPr>
        <w:pStyle w:val="Paragraphedeliste"/>
        <w:numPr>
          <w:ilvl w:val="0"/>
          <w:numId w:val="2"/>
        </w:numPr>
        <w:spacing w:after="120"/>
        <w:ind w:left="993" w:hanging="993"/>
        <w:rPr>
          <w:rFonts w:asciiTheme="minorHAnsi" w:hAnsiTheme="minorHAnsi" w:cstheme="minorHAnsi"/>
          <w:noProof/>
          <w:lang w:val="en-GB"/>
        </w:rPr>
      </w:pPr>
      <w:bookmarkStart w:id="2" w:name="_Hlk152007463"/>
      <w:r w:rsidRPr="003A4A81">
        <w:rPr>
          <w:rFonts w:asciiTheme="minorHAnsi" w:hAnsiTheme="minorHAnsi" w:cstheme="minorHAnsi"/>
          <w:lang w:val="en-US"/>
        </w:rPr>
        <w:t xml:space="preserve">Participating in IT and other projects to improve the efficiency of the </w:t>
      </w:r>
      <w:r w:rsidRPr="003A4A81">
        <w:rPr>
          <w:rFonts w:asciiTheme="minorHAnsi" w:hAnsiTheme="minorHAnsi" w:cstheme="minorHAnsi"/>
          <w:noProof/>
          <w:lang w:val="en-GB"/>
        </w:rPr>
        <w:t>DDA’s operations</w:t>
      </w:r>
    </w:p>
    <w:bookmarkEnd w:id="2"/>
    <w:p w14:paraId="0A7BB0DC" w14:textId="77777777" w:rsidR="005A45E9" w:rsidRPr="003A4A81" w:rsidRDefault="005A45E9" w:rsidP="005A45E9">
      <w:pPr>
        <w:pStyle w:val="Paragraphedeliste"/>
        <w:spacing w:after="120"/>
        <w:ind w:left="1350"/>
        <w:rPr>
          <w:rFonts w:asciiTheme="minorHAnsi" w:hAnsiTheme="minorHAnsi" w:cstheme="minorHAnsi"/>
          <w:noProof/>
          <w:lang w:val="en-GB"/>
        </w:rPr>
      </w:pPr>
    </w:p>
    <w:p w14:paraId="463CA37D" w14:textId="77777777" w:rsidR="005A45E9" w:rsidRPr="003A4A81" w:rsidRDefault="005A45E9" w:rsidP="005A45E9">
      <w:pPr>
        <w:pStyle w:val="Paragraphedeliste"/>
        <w:numPr>
          <w:ilvl w:val="0"/>
          <w:numId w:val="2"/>
        </w:numPr>
        <w:spacing w:after="120"/>
        <w:ind w:left="993" w:hanging="993"/>
        <w:rPr>
          <w:rFonts w:asciiTheme="minorHAnsi" w:hAnsiTheme="minorHAnsi" w:cstheme="minorHAnsi"/>
          <w:lang w:val="en-US"/>
        </w:rPr>
      </w:pPr>
      <w:r w:rsidRPr="003A4A81">
        <w:rPr>
          <w:rFonts w:asciiTheme="minorHAnsi" w:hAnsiTheme="minorHAnsi" w:cstheme="minorHAnsi"/>
          <w:lang w:val="en-US"/>
        </w:rPr>
        <w:t>Contributing to the preparation of Due Diligence reports for private and business sector upstream partners</w:t>
      </w:r>
    </w:p>
    <w:bookmarkEnd w:id="1"/>
    <w:p w14:paraId="77143EF8" w14:textId="744E9A34" w:rsidR="008D3543" w:rsidRPr="003A4A81" w:rsidRDefault="008D3543" w:rsidP="00CF4122">
      <w:pPr>
        <w:pStyle w:val="En-tte"/>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6BF5592C" w14:textId="77777777" w:rsidR="00B24BB2" w:rsidRDefault="008D3543" w:rsidP="00B24BB2">
      <w:pPr>
        <w:spacing w:after="120"/>
        <w:rPr>
          <w:rFonts w:asciiTheme="minorHAnsi" w:hAnsiTheme="minorHAnsi" w:cstheme="minorHAnsi"/>
          <w:lang w:val="en-US"/>
        </w:rPr>
      </w:pPr>
      <w:r w:rsidRPr="00B24BB2">
        <w:rPr>
          <w:rFonts w:asciiTheme="minorHAnsi" w:hAnsiTheme="minorHAnsi" w:cstheme="minorHAnsi"/>
          <w:b/>
          <w:lang w:val="en-US"/>
        </w:rPr>
        <w:t>Education:</w:t>
      </w:r>
      <w:r w:rsidRPr="00B24BB2">
        <w:rPr>
          <w:rFonts w:asciiTheme="minorHAnsi" w:hAnsiTheme="minorHAnsi" w:cstheme="minorHAnsi"/>
          <w:lang w:val="en-US"/>
        </w:rPr>
        <w:tab/>
      </w:r>
    </w:p>
    <w:p w14:paraId="53ABE7A9" w14:textId="410A543E" w:rsidR="00B24BB2" w:rsidRPr="003A4A81" w:rsidRDefault="00B24BB2" w:rsidP="00B24BB2">
      <w:pPr>
        <w:spacing w:after="120"/>
        <w:rPr>
          <w:rFonts w:asciiTheme="minorHAnsi" w:hAnsiTheme="minorHAnsi" w:cstheme="minorHAnsi"/>
          <w:lang w:val="en-US"/>
        </w:rPr>
      </w:pPr>
      <w:r w:rsidRPr="003A4A81">
        <w:rPr>
          <w:rFonts w:asciiTheme="minorHAnsi" w:hAnsiTheme="minorHAnsi" w:cstheme="minorHAnsi"/>
          <w:lang w:val="en-US"/>
        </w:rPr>
        <w:t>Advanced university degree (</w:t>
      </w:r>
      <w:proofErr w:type="gramStart"/>
      <w:r w:rsidRPr="003A4A81">
        <w:rPr>
          <w:rFonts w:asciiTheme="minorHAnsi" w:hAnsiTheme="minorHAnsi" w:cstheme="minorHAnsi"/>
          <w:lang w:val="en-US"/>
        </w:rPr>
        <w:t>Master’s</w:t>
      </w:r>
      <w:proofErr w:type="gramEnd"/>
      <w:r w:rsidRPr="003A4A81">
        <w:rPr>
          <w:rFonts w:asciiTheme="minorHAnsi" w:hAnsiTheme="minorHAnsi" w:cstheme="minorHAnsi"/>
          <w:lang w:val="en-US"/>
        </w:rPr>
        <w:t xml:space="preserve"> degree or equivalent) in finance, business management, audit or related field. </w:t>
      </w:r>
    </w:p>
    <w:p w14:paraId="1F91B933" w14:textId="77777777" w:rsidR="00B24BB2" w:rsidRPr="003A4A81" w:rsidRDefault="00B6354A" w:rsidP="008D3543">
      <w:pPr>
        <w:spacing w:after="120"/>
        <w:rPr>
          <w:rFonts w:asciiTheme="minorHAnsi" w:hAnsiTheme="minorHAnsi" w:cstheme="minorHAnsi"/>
          <w:b/>
          <w:lang w:val="en-US"/>
        </w:rPr>
      </w:pPr>
      <w:r w:rsidRPr="003A4A81">
        <w:rPr>
          <w:rFonts w:asciiTheme="minorHAnsi" w:hAnsiTheme="minorHAnsi" w:cstheme="minorHAnsi"/>
          <w:b/>
          <w:lang w:val="en-US"/>
        </w:rPr>
        <w:t>Experience (if any)</w:t>
      </w:r>
      <w:r w:rsidR="008D3543" w:rsidRPr="003A4A81">
        <w:rPr>
          <w:rFonts w:asciiTheme="minorHAnsi" w:hAnsiTheme="minorHAnsi" w:cstheme="minorHAnsi"/>
          <w:b/>
          <w:lang w:val="en-US"/>
        </w:rPr>
        <w:t>:</w:t>
      </w:r>
      <w:r w:rsidR="00B24BB2" w:rsidRPr="003A4A81">
        <w:rPr>
          <w:rFonts w:asciiTheme="minorHAnsi" w:hAnsiTheme="minorHAnsi" w:cstheme="minorHAnsi"/>
          <w:b/>
          <w:lang w:val="en-US"/>
        </w:rPr>
        <w:t xml:space="preserve"> </w:t>
      </w:r>
    </w:p>
    <w:p w14:paraId="7847DAC6" w14:textId="77777777" w:rsidR="00B24BB2" w:rsidRPr="003A4A81" w:rsidRDefault="00B24BB2" w:rsidP="00B24BB2">
      <w:pPr>
        <w:pStyle w:val="Paragraphedeliste"/>
        <w:numPr>
          <w:ilvl w:val="0"/>
          <w:numId w:val="3"/>
        </w:numPr>
        <w:tabs>
          <w:tab w:val="left" w:pos="567"/>
        </w:tabs>
        <w:spacing w:after="120"/>
        <w:ind w:left="567" w:hanging="567"/>
        <w:rPr>
          <w:rFonts w:asciiTheme="minorHAnsi" w:hAnsiTheme="minorHAnsi" w:cstheme="minorHAnsi"/>
          <w:lang w:val="en-US"/>
        </w:rPr>
      </w:pPr>
      <w:bookmarkStart w:id="3" w:name="_Hlk152007071"/>
      <w:r w:rsidRPr="003A4A81">
        <w:rPr>
          <w:rFonts w:asciiTheme="minorHAnsi" w:hAnsiTheme="minorHAnsi" w:cstheme="minorHAnsi"/>
          <w:lang w:val="en-US"/>
        </w:rPr>
        <w:t>Preferably a minimum of 1-2 years of professional experience in finance, audit, business management or related areas.</w:t>
      </w:r>
      <w:bookmarkEnd w:id="3"/>
    </w:p>
    <w:p w14:paraId="77A0DD88" w14:textId="5FD3318B" w:rsidR="00B24BB2" w:rsidRPr="003A4A81" w:rsidRDefault="00B24BB2" w:rsidP="00B24BB2">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lang w:val="en-US"/>
        </w:rPr>
        <w:t>Experience in IT projects would be an asset.</w:t>
      </w:r>
    </w:p>
    <w:p w14:paraId="233D48AD" w14:textId="77777777" w:rsidR="00B24BB2" w:rsidRDefault="00847E49" w:rsidP="008D3543">
      <w:pPr>
        <w:spacing w:after="120"/>
        <w:rPr>
          <w:rFonts w:asciiTheme="minorHAnsi" w:hAnsiTheme="minorHAnsi" w:cstheme="minorHAnsi"/>
          <w:lang w:val="en-US"/>
        </w:rPr>
      </w:pPr>
      <w:r w:rsidRPr="00B24BB2">
        <w:rPr>
          <w:rFonts w:asciiTheme="minorHAnsi" w:hAnsiTheme="minorHAnsi" w:cstheme="minorHAnsi"/>
          <w:b/>
          <w:lang w:val="en-US"/>
        </w:rPr>
        <w:t>Language skills</w:t>
      </w:r>
      <w:r w:rsidR="008D3543" w:rsidRPr="00B24BB2">
        <w:rPr>
          <w:rFonts w:asciiTheme="minorHAnsi" w:hAnsiTheme="minorHAnsi" w:cstheme="minorHAnsi"/>
          <w:b/>
          <w:lang w:val="en-US"/>
        </w:rPr>
        <w:t>:</w:t>
      </w:r>
      <w:r w:rsidR="008D3543" w:rsidRPr="00B24BB2">
        <w:rPr>
          <w:rFonts w:asciiTheme="minorHAnsi" w:hAnsiTheme="minorHAnsi" w:cstheme="minorHAnsi"/>
          <w:lang w:val="en-US"/>
        </w:rPr>
        <w:t xml:space="preserve"> </w:t>
      </w:r>
    </w:p>
    <w:p w14:paraId="1D9D6AFF" w14:textId="3D47822D" w:rsidR="008D3543" w:rsidRPr="003A4A81" w:rsidRDefault="005A45E9" w:rsidP="005A45E9">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lang w:val="en-US"/>
        </w:rPr>
        <w:t xml:space="preserve">Good </w:t>
      </w:r>
      <w:r w:rsidR="00B24BB2" w:rsidRPr="003A4A81">
        <w:rPr>
          <w:rFonts w:asciiTheme="minorHAnsi" w:hAnsiTheme="minorHAnsi" w:cstheme="minorHAnsi"/>
          <w:lang w:val="en-US"/>
        </w:rPr>
        <w:t>knowledge of English or French; knowledge of another UNESCO official language is an asset.</w:t>
      </w:r>
    </w:p>
    <w:p w14:paraId="577A9070" w14:textId="0119CD0C" w:rsidR="008D3543" w:rsidRPr="00B24BB2" w:rsidRDefault="008D3543" w:rsidP="008D3543">
      <w:pPr>
        <w:spacing w:after="120"/>
        <w:rPr>
          <w:rFonts w:asciiTheme="minorHAnsi" w:hAnsiTheme="minorHAnsi" w:cstheme="minorHAnsi"/>
          <w:b/>
          <w:lang w:val="en-US"/>
        </w:rPr>
      </w:pPr>
      <w:r w:rsidRPr="00B24BB2">
        <w:rPr>
          <w:rFonts w:asciiTheme="minorHAnsi" w:hAnsiTheme="minorHAnsi" w:cstheme="minorHAnsi"/>
          <w:b/>
          <w:lang w:val="en-US"/>
        </w:rPr>
        <w:t>Competencies and skills:</w:t>
      </w:r>
    </w:p>
    <w:p w14:paraId="585EE498" w14:textId="77777777" w:rsidR="00B24BB2" w:rsidRPr="003A4A81" w:rsidRDefault="00B24BB2" w:rsidP="00B24BB2">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lang w:val="en-US"/>
        </w:rPr>
        <w:t>Good organizational skills</w:t>
      </w:r>
    </w:p>
    <w:p w14:paraId="4B747B80" w14:textId="77777777" w:rsidR="00B24BB2" w:rsidRPr="003A4A81" w:rsidRDefault="00B24BB2" w:rsidP="00B24BB2">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lang w:val="en-US"/>
        </w:rPr>
        <w:t xml:space="preserve">Excellent (oral and written) communication skills, including the ability to draft and produce a variety of written material in a clear and concise </w:t>
      </w:r>
      <w:proofErr w:type="gramStart"/>
      <w:r w:rsidRPr="003A4A81">
        <w:rPr>
          <w:rFonts w:asciiTheme="minorHAnsi" w:hAnsiTheme="minorHAnsi" w:cstheme="minorHAnsi"/>
          <w:lang w:val="en-US"/>
        </w:rPr>
        <w:t>manner</w:t>
      </w:r>
      <w:proofErr w:type="gramEnd"/>
    </w:p>
    <w:p w14:paraId="4EB2C700" w14:textId="77777777" w:rsidR="00B24BB2" w:rsidRPr="003A4A81" w:rsidRDefault="00B24BB2" w:rsidP="00B24BB2">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lang w:val="en-US"/>
        </w:rPr>
        <w:t xml:space="preserve">Ability to work effectively in a team and to maintain good working relations within a multi-cultural </w:t>
      </w:r>
      <w:proofErr w:type="gramStart"/>
      <w:r w:rsidRPr="003A4A81">
        <w:rPr>
          <w:rFonts w:asciiTheme="minorHAnsi" w:hAnsiTheme="minorHAnsi" w:cstheme="minorHAnsi"/>
          <w:lang w:val="en-US"/>
        </w:rPr>
        <w:t>environment</w:t>
      </w:r>
      <w:proofErr w:type="gramEnd"/>
    </w:p>
    <w:p w14:paraId="3B891B40" w14:textId="77777777" w:rsidR="00B24BB2" w:rsidRPr="003A4A81" w:rsidRDefault="00B24BB2" w:rsidP="00B24BB2">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noProof/>
          <w:lang w:val="en-GB"/>
        </w:rPr>
        <w:t>Ability t</w:t>
      </w:r>
      <w:r w:rsidRPr="003A4A81">
        <w:rPr>
          <w:rFonts w:asciiTheme="minorHAnsi" w:hAnsiTheme="minorHAnsi" w:cstheme="minorHAnsi"/>
          <w:lang w:val="en-US"/>
        </w:rPr>
        <w:t xml:space="preserve">o explain simply, clearly and with details the application of the rules and </w:t>
      </w:r>
      <w:proofErr w:type="gramStart"/>
      <w:r w:rsidRPr="003A4A81">
        <w:rPr>
          <w:rFonts w:asciiTheme="minorHAnsi" w:hAnsiTheme="minorHAnsi" w:cstheme="minorHAnsi"/>
          <w:lang w:val="en-US"/>
        </w:rPr>
        <w:t>procedures;</w:t>
      </w:r>
      <w:proofErr w:type="gramEnd"/>
    </w:p>
    <w:p w14:paraId="52606DBE" w14:textId="04196032" w:rsidR="00B24BB2" w:rsidRPr="003A4A81" w:rsidRDefault="00B24BB2" w:rsidP="008D3543">
      <w:pPr>
        <w:pStyle w:val="Paragraphedeliste"/>
        <w:numPr>
          <w:ilvl w:val="0"/>
          <w:numId w:val="3"/>
        </w:numPr>
        <w:tabs>
          <w:tab w:val="left" w:pos="567"/>
        </w:tabs>
        <w:spacing w:after="120"/>
        <w:ind w:left="567" w:hanging="567"/>
        <w:rPr>
          <w:rFonts w:asciiTheme="minorHAnsi" w:hAnsiTheme="minorHAnsi" w:cstheme="minorHAnsi"/>
          <w:lang w:val="en-US"/>
        </w:rPr>
      </w:pPr>
      <w:r w:rsidRPr="003A4A81">
        <w:rPr>
          <w:rFonts w:asciiTheme="minorHAnsi" w:hAnsiTheme="minorHAnsi" w:cstheme="minorHAnsi"/>
          <w:lang w:val="en-US"/>
        </w:rPr>
        <w:t xml:space="preserve">Ability to demonstrate objectivity, independence, discretion, </w:t>
      </w:r>
      <w:proofErr w:type="gramStart"/>
      <w:r w:rsidRPr="003A4A81">
        <w:rPr>
          <w:rFonts w:asciiTheme="minorHAnsi" w:hAnsiTheme="minorHAnsi" w:cstheme="minorHAnsi"/>
          <w:lang w:val="en-US"/>
        </w:rPr>
        <w:t>confidentiality</w:t>
      </w:r>
      <w:proofErr w:type="gramEnd"/>
      <w:r w:rsidRPr="003A4A81">
        <w:rPr>
          <w:rFonts w:asciiTheme="minorHAnsi" w:hAnsiTheme="minorHAnsi" w:cstheme="minorHAnsi"/>
          <w:lang w:val="en-US"/>
        </w:rPr>
        <w:t xml:space="preserve"> and professionalism</w:t>
      </w:r>
      <w:r w:rsidR="003A4A81">
        <w:rPr>
          <w:rFonts w:asciiTheme="minorHAnsi" w:hAnsiTheme="minorHAnsi" w:cstheme="minorHAnsi"/>
          <w:lang w:val="en-US"/>
        </w:rPr>
        <w:t>.</w:t>
      </w: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2F7CC4F8" w14:textId="77777777" w:rsidR="00B24BB2" w:rsidRPr="003A4A81" w:rsidRDefault="00B24BB2" w:rsidP="003A4A81">
      <w:pPr>
        <w:jc w:val="both"/>
        <w:rPr>
          <w:rFonts w:asciiTheme="minorHAnsi" w:hAnsiTheme="minorHAnsi" w:cstheme="minorHAnsi"/>
          <w:lang w:val="en-GB"/>
        </w:rPr>
      </w:pPr>
      <w:r w:rsidRPr="003A4A81">
        <w:rPr>
          <w:rFonts w:asciiTheme="minorHAnsi" w:hAnsiTheme="minorHAnsi" w:cstheme="minorHAnsi"/>
          <w:lang w:val="en-GB"/>
        </w:rPr>
        <w:t>The candidate will work in Donor Due Diligence and Audit (DDA) Unit of the Grants Management Section of the Bureau of Strategic Planning.  Although the daily work will focus on DDA functions, the candidate will also have to opportunity to learn about other functions of the Grants Management Section, the Bureau of Strategic Planning and of UNESCO in general.</w:t>
      </w:r>
    </w:p>
    <w:p w14:paraId="34D30C1A" w14:textId="77777777" w:rsidR="00B24BB2" w:rsidRPr="003A4A81" w:rsidRDefault="00B24BB2" w:rsidP="003A4A81">
      <w:pPr>
        <w:jc w:val="both"/>
        <w:rPr>
          <w:rFonts w:asciiTheme="minorHAnsi" w:hAnsiTheme="minorHAnsi" w:cstheme="minorHAnsi"/>
          <w:lang w:val="en-GB"/>
        </w:rPr>
      </w:pPr>
    </w:p>
    <w:p w14:paraId="609D2533" w14:textId="77777777" w:rsidR="00B24BB2" w:rsidRPr="003A4A81" w:rsidRDefault="00B24BB2" w:rsidP="003A4A81">
      <w:pPr>
        <w:jc w:val="both"/>
        <w:rPr>
          <w:rFonts w:asciiTheme="minorHAnsi" w:hAnsiTheme="minorHAnsi" w:cstheme="minorHAnsi"/>
          <w:lang w:val="en-GB"/>
        </w:rPr>
      </w:pPr>
      <w:r w:rsidRPr="003A4A81">
        <w:rPr>
          <w:rFonts w:asciiTheme="minorHAnsi" w:hAnsiTheme="minorHAnsi" w:cstheme="minorHAnsi"/>
          <w:lang w:val="en-GB"/>
        </w:rPr>
        <w:t>In this regard, at the end if the internship, the candidate is expected to have acquired:</w:t>
      </w:r>
    </w:p>
    <w:p w14:paraId="07A8FDD5" w14:textId="77777777" w:rsidR="00B24BB2" w:rsidRPr="003A4A81" w:rsidRDefault="00B24BB2" w:rsidP="003A4A81">
      <w:pPr>
        <w:pStyle w:val="Paragraphedeliste"/>
        <w:numPr>
          <w:ilvl w:val="0"/>
          <w:numId w:val="6"/>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An in-depth understanding of the Donor Due Diligence and Audit (DDA) Unit functions, including:</w:t>
      </w:r>
    </w:p>
    <w:p w14:paraId="791E81DB"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 xml:space="preserve">Audits and verification missions to review donor funded </w:t>
      </w:r>
      <w:proofErr w:type="gramStart"/>
      <w:r w:rsidRPr="003A4A81">
        <w:rPr>
          <w:rFonts w:asciiTheme="minorHAnsi" w:hAnsiTheme="minorHAnsi" w:cstheme="minorHAnsi"/>
          <w:lang w:val="en-GB"/>
        </w:rPr>
        <w:t>projects</w:t>
      </w:r>
      <w:proofErr w:type="gramEnd"/>
    </w:p>
    <w:p w14:paraId="2268B894"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Due Diligence process for private/business sector entities</w:t>
      </w:r>
    </w:p>
    <w:p w14:paraId="267DCFB9"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Assessment processes that large donors and member states may undertake to quality UNESCO for grants/</w:t>
      </w:r>
      <w:proofErr w:type="gramStart"/>
      <w:r w:rsidRPr="003A4A81">
        <w:rPr>
          <w:rFonts w:asciiTheme="minorHAnsi" w:hAnsiTheme="minorHAnsi" w:cstheme="minorHAnsi"/>
          <w:lang w:val="en-GB"/>
        </w:rPr>
        <w:t>donations</w:t>
      </w:r>
      <w:proofErr w:type="gramEnd"/>
    </w:p>
    <w:p w14:paraId="4396AA66" w14:textId="77777777" w:rsidR="00B24BB2" w:rsidRPr="003A4A81" w:rsidRDefault="00B24BB2" w:rsidP="003A4A81">
      <w:pPr>
        <w:pStyle w:val="Paragraphedeliste"/>
        <w:numPr>
          <w:ilvl w:val="0"/>
          <w:numId w:val="6"/>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A general understanding of other aspects of the work of the Grants Management Section, the Bureau of Strategic Planning and UNESCO in general, e.g.:</w:t>
      </w:r>
    </w:p>
    <w:p w14:paraId="0613DBC2"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 xml:space="preserve">The Budgeting process for projects funded by voluntary </w:t>
      </w:r>
      <w:proofErr w:type="gramStart"/>
      <w:r w:rsidRPr="003A4A81">
        <w:rPr>
          <w:rFonts w:asciiTheme="minorHAnsi" w:hAnsiTheme="minorHAnsi" w:cstheme="minorHAnsi"/>
          <w:lang w:val="en-GB"/>
        </w:rPr>
        <w:t>contributions;</w:t>
      </w:r>
      <w:proofErr w:type="gramEnd"/>
    </w:p>
    <w:p w14:paraId="42E246A4"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 xml:space="preserve">Financial reporting for voluntary contribution </w:t>
      </w:r>
      <w:proofErr w:type="gramStart"/>
      <w:r w:rsidRPr="003A4A81">
        <w:rPr>
          <w:rFonts w:asciiTheme="minorHAnsi" w:hAnsiTheme="minorHAnsi" w:cstheme="minorHAnsi"/>
          <w:lang w:val="en-GB"/>
        </w:rPr>
        <w:t>projects;</w:t>
      </w:r>
      <w:proofErr w:type="gramEnd"/>
    </w:p>
    <w:p w14:paraId="7DBCDF03"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t>A general understanding of UNESCO’s programmatic, operational and governance structure, etc.</w:t>
      </w:r>
    </w:p>
    <w:p w14:paraId="51C46356" w14:textId="77777777" w:rsidR="00B24BB2" w:rsidRPr="003A4A81" w:rsidRDefault="00B24BB2" w:rsidP="003A4A81">
      <w:pPr>
        <w:pStyle w:val="Paragraphedeliste"/>
        <w:numPr>
          <w:ilvl w:val="0"/>
          <w:numId w:val="4"/>
        </w:numPr>
        <w:spacing w:after="160" w:line="259" w:lineRule="auto"/>
        <w:jc w:val="both"/>
        <w:rPr>
          <w:rFonts w:asciiTheme="minorHAnsi" w:hAnsiTheme="minorHAnsi" w:cstheme="minorHAnsi"/>
          <w:lang w:val="en-GB"/>
        </w:rPr>
      </w:pPr>
      <w:r w:rsidRPr="003A4A81">
        <w:rPr>
          <w:rFonts w:asciiTheme="minorHAnsi" w:hAnsiTheme="minorHAnsi" w:cstheme="minorHAnsi"/>
          <w:lang w:val="en-GB"/>
        </w:rPr>
        <w:lastRenderedPageBreak/>
        <w:t>General understanding of UNESCO’s rules and regulations</w:t>
      </w:r>
    </w:p>
    <w:p w14:paraId="067EC005" w14:textId="47992E7F" w:rsidR="008D3543" w:rsidRDefault="008D3543" w:rsidP="00CF4122">
      <w:pPr>
        <w:pStyle w:val="En-tte"/>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6838CB11" w14:textId="77777777" w:rsidR="005A45E9" w:rsidRPr="003A4A81" w:rsidRDefault="005A45E9" w:rsidP="005A45E9">
      <w:pPr>
        <w:pStyle w:val="NormalWeb"/>
        <w:spacing w:after="0"/>
        <w:jc w:val="both"/>
        <w:rPr>
          <w:rFonts w:asciiTheme="minorHAnsi" w:hAnsiTheme="minorHAnsi" w:cstheme="minorHAnsi"/>
          <w:noProof/>
          <w:szCs w:val="32"/>
          <w:lang w:val="en-GB"/>
        </w:rPr>
      </w:pPr>
      <w:bookmarkStart w:id="4" w:name="_Hlk152007318"/>
      <w:r w:rsidRPr="003A4A81">
        <w:rPr>
          <w:rFonts w:asciiTheme="minorHAnsi" w:hAnsiTheme="minorHAnsi" w:cstheme="minorHAnsi"/>
          <w:noProof/>
          <w:szCs w:val="32"/>
          <w:lang w:val="en-GB"/>
        </w:rPr>
        <w:t>Given the reputational risks associated with cooperating with the private sector, Member States have requested UNESCO to conduct due diligence (screening) on private and business sector entitities before entering into formalised arrangements with such entities (e.g see Executive Board decision 156 EX/Decision 9.4.).  In this regard, the Donor Due Diligence and Audits Unit plays a pivotal role as it coordinates the DD process for the entire Organisation – helping colleagues at HQ, in the field and in the institutes to make informed decisions about their potential partners.  Todate on average 200 due diligence reports are produced each year.  However, as partnership with the private sector is becoming more mainstreamed, there is need for additional resources within the unit in order to meet increasing demands.</w:t>
      </w:r>
    </w:p>
    <w:p w14:paraId="65D346E1" w14:textId="77777777" w:rsidR="005A45E9" w:rsidRPr="003A4A81" w:rsidRDefault="005A45E9" w:rsidP="005A45E9">
      <w:pPr>
        <w:pStyle w:val="NormalWeb"/>
        <w:spacing w:after="0"/>
        <w:jc w:val="both"/>
        <w:rPr>
          <w:rFonts w:asciiTheme="minorHAnsi" w:hAnsiTheme="minorHAnsi" w:cstheme="minorHAnsi"/>
          <w:noProof/>
          <w:szCs w:val="32"/>
          <w:lang w:val="en-GB"/>
        </w:rPr>
      </w:pPr>
      <w:r w:rsidRPr="003A4A81">
        <w:rPr>
          <w:rFonts w:asciiTheme="minorHAnsi" w:hAnsiTheme="minorHAnsi" w:cstheme="minorHAnsi"/>
          <w:noProof/>
          <w:szCs w:val="32"/>
          <w:lang w:val="en-GB"/>
        </w:rPr>
        <w:t xml:space="preserve">In addition, the DDA unit is also responsible for coordinating the audits and reviews of projects funded by voluntary contributions.  In 2023, there were 5 verification missions and residual error rate studies conducted for projects funded by the EU alone.  Each review is rather intensive and requires extensive commitment of time and resources.  The incumbent will pay a pivotal role in supporting the Head of Unit in coordinating the audits and verification processess.  </w:t>
      </w:r>
    </w:p>
    <w:bookmarkEnd w:id="4"/>
    <w:p w14:paraId="755321AB" w14:textId="77777777" w:rsidR="005A45E9" w:rsidRPr="003A4A81" w:rsidRDefault="005A45E9" w:rsidP="005A45E9">
      <w:pPr>
        <w:pStyle w:val="NormalWeb"/>
        <w:spacing w:after="0"/>
        <w:jc w:val="both"/>
        <w:rPr>
          <w:rFonts w:asciiTheme="minorHAnsi" w:hAnsiTheme="minorHAnsi" w:cstheme="minorHAnsi"/>
          <w:noProof/>
          <w:szCs w:val="32"/>
          <w:lang w:val="en-GB"/>
        </w:rPr>
      </w:pPr>
      <w:r w:rsidRPr="003A4A81">
        <w:rPr>
          <w:rFonts w:asciiTheme="minorHAnsi" w:hAnsiTheme="minorHAnsi" w:cstheme="minorHAnsi"/>
          <w:noProof/>
          <w:szCs w:val="32"/>
          <w:lang w:val="en-GB"/>
        </w:rPr>
        <w:t>Large donors have their own due diligence processes for potential partners. In this regard, the DDA unit coordinates UNESCO responses to questions raised by potential donors.  This is essential to securing partnerships for UNESCO as often donors will not agree to sign agreements or release funding if their own due diligence /assessment process has not been completed.</w:t>
      </w:r>
    </w:p>
    <w:p w14:paraId="7EFB7902" w14:textId="73C04FA2" w:rsidR="005A45E9" w:rsidRPr="005A45E9" w:rsidRDefault="005A45E9" w:rsidP="005A45E9">
      <w:pPr>
        <w:pStyle w:val="NormalWeb"/>
        <w:spacing w:after="0"/>
        <w:rPr>
          <w:rFonts w:asciiTheme="minorHAnsi" w:hAnsiTheme="minorHAnsi" w:cstheme="minorHAnsi"/>
          <w:noProof/>
          <w:color w:val="365F91" w:themeColor="accent1" w:themeShade="BF"/>
          <w:szCs w:val="32"/>
          <w:lang w:val="en-GB"/>
        </w:rPr>
      </w:pPr>
      <w:bookmarkStart w:id="5" w:name="_Hlk152167528"/>
      <w:r w:rsidRPr="003A4A81">
        <w:rPr>
          <w:rFonts w:asciiTheme="minorHAnsi" w:hAnsiTheme="minorHAnsi" w:cstheme="minorHAnsi"/>
          <w:noProof/>
          <w:szCs w:val="32"/>
          <w:lang w:val="en-GB"/>
        </w:rPr>
        <w:t xml:space="preserve">Also see the DDA website for more information bout the Units work: </w:t>
      </w:r>
      <w:hyperlink r:id="rId11" w:history="1">
        <w:r w:rsidRPr="007F60A2">
          <w:rPr>
            <w:rStyle w:val="Lienhypertexte"/>
            <w:rFonts w:asciiTheme="minorHAnsi" w:hAnsiTheme="minorHAnsi" w:cstheme="minorHAnsi"/>
            <w:noProof/>
            <w:szCs w:val="32"/>
            <w:lang w:val="en-GB"/>
          </w:rPr>
          <w:t>https://unesco.sharepoint.com/sites/bsp/SitePages/Donor-Due-Diligence-and-Audits-Unit-(DDA).aspx</w:t>
        </w:r>
      </w:hyperlink>
      <w:bookmarkEnd w:id="5"/>
      <w:r>
        <w:rPr>
          <w:rFonts w:asciiTheme="minorHAnsi" w:hAnsiTheme="minorHAnsi" w:cstheme="minorHAnsi"/>
          <w:noProof/>
          <w:color w:val="365F91" w:themeColor="accent1" w:themeShade="BF"/>
          <w:szCs w:val="32"/>
          <w:lang w:val="en-GB"/>
        </w:rPr>
        <w:t xml:space="preserve"> </w:t>
      </w:r>
    </w:p>
    <w:p w14:paraId="3962D740" w14:textId="77777777" w:rsidR="00B24BB2" w:rsidRPr="005A45E9" w:rsidRDefault="00B24BB2" w:rsidP="000F0965">
      <w:pPr>
        <w:pStyle w:val="NormalWeb"/>
        <w:spacing w:before="0" w:beforeAutospacing="0" w:after="0" w:afterAutospacing="0"/>
        <w:jc w:val="both"/>
        <w:rPr>
          <w:rFonts w:asciiTheme="minorHAnsi" w:eastAsia="Times New Roman" w:hAnsiTheme="minorHAnsi" w:cs="Times New Roman"/>
          <w:i/>
          <w:lang w:val="en-GB"/>
        </w:rPr>
      </w:pPr>
    </w:p>
    <w:p w14:paraId="0C3783E2" w14:textId="77777777" w:rsidR="00CF4122" w:rsidRPr="009E08C0" w:rsidRDefault="00CF4122" w:rsidP="006D6583">
      <w:pPr>
        <w:pStyle w:val="En-tte"/>
        <w:tabs>
          <w:tab w:val="clear" w:pos="4536"/>
          <w:tab w:val="clear" w:pos="9072"/>
        </w:tabs>
        <w:rPr>
          <w:lang w:val="en-US"/>
        </w:rPr>
      </w:pPr>
    </w:p>
    <w:sectPr w:rsidR="00CF4122" w:rsidRPr="009E08C0"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651A" w14:textId="77777777" w:rsidR="00825E2D" w:rsidRDefault="00825E2D" w:rsidP="009235BD">
      <w:r>
        <w:separator/>
      </w:r>
    </w:p>
  </w:endnote>
  <w:endnote w:type="continuationSeparator" w:id="0">
    <w:p w14:paraId="5B1134FB" w14:textId="77777777" w:rsidR="00825E2D" w:rsidRDefault="00825E2D"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4A0CB3"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4A0CB3" w:rsidRDefault="004A0CB3"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4A0CB3"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85565" w14:textId="77777777" w:rsidR="00825E2D" w:rsidRDefault="00825E2D" w:rsidP="009235BD">
      <w:r>
        <w:separator/>
      </w:r>
    </w:p>
  </w:footnote>
  <w:footnote w:type="continuationSeparator" w:id="0">
    <w:p w14:paraId="651CACC2" w14:textId="77777777" w:rsidR="00825E2D" w:rsidRDefault="00825E2D"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En-tte"/>
    </w:pPr>
  </w:p>
  <w:p w14:paraId="21E41206" w14:textId="27E979BB"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6A34E0B4" w14:textId="77777777" w:rsidR="003A4A81" w:rsidRDefault="003A4A81" w:rsidP="00F22C69">
    <w:pPr>
      <w:jc w:val="right"/>
      <w:rPr>
        <w:rFonts w:ascii="Arial" w:hAnsi="Arial" w:cs="Arial"/>
        <w:bCs/>
        <w:kern w:val="28"/>
        <w:sz w:val="20"/>
        <w:szCs w:val="20"/>
        <w:lang w:val="en-US"/>
      </w:rPr>
    </w:pPr>
  </w:p>
  <w:p w14:paraId="1398410A" w14:textId="75CA3A8B" w:rsidR="004A0CB3"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4A0CB3" w:rsidRDefault="00B12EDB" w:rsidP="00E4480B">
    <w:pPr>
      <w:pStyle w:val="Titr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70210915" r:id="rId2"/>
      </w:object>
    </w:r>
    <w:r>
      <w:rPr>
        <w:i/>
        <w:lang w:val="en-GB"/>
      </w:rPr>
      <w:t xml:space="preserve"> </w:t>
    </w:r>
  </w:p>
  <w:p w14:paraId="2C4F2766" w14:textId="77777777" w:rsidR="004A0CB3"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B79"/>
    <w:multiLevelType w:val="hybridMultilevel"/>
    <w:tmpl w:val="B96E5F8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3A30F3E"/>
    <w:multiLevelType w:val="hybridMultilevel"/>
    <w:tmpl w:val="DA7C74D8"/>
    <w:lvl w:ilvl="0" w:tplc="7B3AD73E">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97374F"/>
    <w:multiLevelType w:val="hybridMultilevel"/>
    <w:tmpl w:val="18F831A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15:restartNumberingAfterBreak="0">
    <w:nsid w:val="2AD276AC"/>
    <w:multiLevelType w:val="hybridMultilevel"/>
    <w:tmpl w:val="C3C2A482"/>
    <w:lvl w:ilvl="0" w:tplc="7B3AD73E">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4A0854"/>
    <w:multiLevelType w:val="hybridMultilevel"/>
    <w:tmpl w:val="6B10DEA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6A2C5A2B"/>
    <w:multiLevelType w:val="hybridMultilevel"/>
    <w:tmpl w:val="F78A032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726291822">
    <w:abstractNumId w:val="5"/>
  </w:num>
  <w:num w:numId="2" w16cid:durableId="1154836498">
    <w:abstractNumId w:val="4"/>
  </w:num>
  <w:num w:numId="3" w16cid:durableId="128286578">
    <w:abstractNumId w:val="2"/>
  </w:num>
  <w:num w:numId="4" w16cid:durableId="2001543336">
    <w:abstractNumId w:val="3"/>
  </w:num>
  <w:num w:numId="5" w16cid:durableId="964894363">
    <w:abstractNumId w:val="1"/>
  </w:num>
  <w:num w:numId="6" w16cid:durableId="537082493">
    <w:abstractNumId w:val="0"/>
  </w:num>
  <w:num w:numId="7" w16cid:durableId="720372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F0965"/>
    <w:rsid w:val="00103381"/>
    <w:rsid w:val="00136AA8"/>
    <w:rsid w:val="00185793"/>
    <w:rsid w:val="001C1F8A"/>
    <w:rsid w:val="001C20D6"/>
    <w:rsid w:val="001E3A41"/>
    <w:rsid w:val="0021710C"/>
    <w:rsid w:val="0023470B"/>
    <w:rsid w:val="0026299F"/>
    <w:rsid w:val="00281EE9"/>
    <w:rsid w:val="002C07FC"/>
    <w:rsid w:val="00312760"/>
    <w:rsid w:val="003A4A81"/>
    <w:rsid w:val="004A0CB3"/>
    <w:rsid w:val="004B168F"/>
    <w:rsid w:val="004C0365"/>
    <w:rsid w:val="004F3150"/>
    <w:rsid w:val="005A45E9"/>
    <w:rsid w:val="005B1269"/>
    <w:rsid w:val="005C2E79"/>
    <w:rsid w:val="005C484F"/>
    <w:rsid w:val="00602060"/>
    <w:rsid w:val="00616A79"/>
    <w:rsid w:val="00637CEA"/>
    <w:rsid w:val="0064354D"/>
    <w:rsid w:val="00666C64"/>
    <w:rsid w:val="006A55A5"/>
    <w:rsid w:val="006D6583"/>
    <w:rsid w:val="007278D2"/>
    <w:rsid w:val="00727FF8"/>
    <w:rsid w:val="007D1E2A"/>
    <w:rsid w:val="00802903"/>
    <w:rsid w:val="00825E2D"/>
    <w:rsid w:val="00847E49"/>
    <w:rsid w:val="008D3543"/>
    <w:rsid w:val="00916E97"/>
    <w:rsid w:val="009235BD"/>
    <w:rsid w:val="009B6FD0"/>
    <w:rsid w:val="00A40351"/>
    <w:rsid w:val="00AB6F8C"/>
    <w:rsid w:val="00AF352F"/>
    <w:rsid w:val="00B07158"/>
    <w:rsid w:val="00B12EDB"/>
    <w:rsid w:val="00B24BB2"/>
    <w:rsid w:val="00B45072"/>
    <w:rsid w:val="00B6354A"/>
    <w:rsid w:val="00B75706"/>
    <w:rsid w:val="00B764FE"/>
    <w:rsid w:val="00B92BB7"/>
    <w:rsid w:val="00BC1989"/>
    <w:rsid w:val="00C51848"/>
    <w:rsid w:val="00C8431A"/>
    <w:rsid w:val="00C87E96"/>
    <w:rsid w:val="00CF4122"/>
    <w:rsid w:val="00D13681"/>
    <w:rsid w:val="00D21AB1"/>
    <w:rsid w:val="00D25C17"/>
    <w:rsid w:val="00D351C6"/>
    <w:rsid w:val="00D86D76"/>
    <w:rsid w:val="00DA16A5"/>
    <w:rsid w:val="00DB751B"/>
    <w:rsid w:val="00DC3993"/>
    <w:rsid w:val="00DF4490"/>
    <w:rsid w:val="00E46B0E"/>
    <w:rsid w:val="00EB5691"/>
    <w:rsid w:val="00ED6853"/>
    <w:rsid w:val="00F2275F"/>
    <w:rsid w:val="00F22C69"/>
    <w:rsid w:val="00F8566B"/>
    <w:rsid w:val="00F94E0D"/>
    <w:rsid w:val="00FB0733"/>
    <w:rsid w:val="00FB47B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5A4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sco.sharepoint.com/sites/bsp/SitePages/Donor-Due-Diligence-and-Audits-Unit-(DDA).asp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eate a new document." ma:contentTypeScope="" ma:versionID="91010db179ae96fc597596352c780ef4">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7e8f04fd8fbb8744857e392f8cb31fe4"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2.xml><?xml version="1.0" encoding="utf-8"?>
<ds:datastoreItem xmlns:ds="http://schemas.openxmlformats.org/officeDocument/2006/customXml" ds:itemID="{BCA0695B-1AE7-4AFF-A8A9-C84AD3D53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 ds:uri="ec9d1205-0d59-41d9-aedc-feed8660e626"/>
    <ds:schemaRef ds:uri="http://schemas.microsoft.com/office/infopath/2007/PartnerControls"/>
    <ds:schemaRef ds:uri="2b7dcbda-7613-480c-8c1d-6f8f715ee140"/>
  </ds:schemaRefs>
</ds:datastoreItem>
</file>

<file path=customXml/itemProps4.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930</Words>
  <Characters>5119</Characters>
  <Application>Microsoft Office Word</Application>
  <DocSecurity>0</DocSecurity>
  <Lines>42</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2016-08-04T13:44:00Z</cp:lastPrinted>
  <dcterms:created xsi:type="dcterms:W3CDTF">2023-12-06T15:35:00Z</dcterms:created>
  <dcterms:modified xsi:type="dcterms:W3CDTF">2024-02-23T15:29:00Z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ies>
</file>