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3"/>
          <w:szCs w:val="23"/>
        </w:rPr>
      </w:pPr>
      <w:r>
        <w:rPr>
          <w:rFonts w:hint="eastAsia" w:ascii="宋体" w:hAnsi="宋体" w:eastAsia="宋体" w:cs="宋体"/>
          <w:sz w:val="23"/>
          <w:szCs w:val="23"/>
        </w:rPr>
        <w:t xml:space="preserve">附件1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西班牙</w:t>
      </w:r>
      <w:r>
        <w:rPr>
          <w:rFonts w:hint="eastAsia" w:ascii="黑体" w:hAnsi="黑体" w:eastAsia="黑体" w:cs="黑体"/>
          <w:b/>
          <w:sz w:val="32"/>
          <w:szCs w:val="32"/>
        </w:rPr>
        <w:t>巴塞罗那自治大学学分课程项目介绍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一、学校概述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</w:rPr>
        <w:t>巴塞罗那自治大学(Universidad Autónoma de Barcelona)创校40余年来，不断致力于国际化发展，在研究与教学领域里的出色表现，不但傲居西班牙之冠，更被公认为欧洲最优秀的大学之一；在2018年</w:t>
      </w:r>
      <w:r>
        <w:rPr>
          <w:rFonts w:hint="eastAsia" w:ascii="宋体" w:hAnsi="宋体" w:eastAsia="宋体" w:cs="宋体"/>
          <w:b w:val="0"/>
          <w:bCs/>
          <w:sz w:val="24"/>
          <w:szCs w:val="24"/>
          <w:u w:val="none"/>
        </w:rPr>
        <w:t>泰晤士报世界大学排名中，巴塞罗那自治大学位列世界第147名。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u w:val="none"/>
        </w:rPr>
        <w:t>巴塞罗那自治大学创立于1968年，位于西班牙东北部的海港城市巴塞罗那。是一所年轻</w:t>
      </w:r>
      <w:r>
        <w:rPr>
          <w:rFonts w:hint="eastAsia" w:ascii="宋体" w:hAnsi="宋体" w:eastAsia="宋体" w:cs="宋体"/>
          <w:b w:val="0"/>
          <w:bCs/>
          <w:sz w:val="24"/>
          <w:szCs w:val="24"/>
          <w:u w:val="none"/>
          <w:lang w:eastAsia="zh-CN"/>
        </w:rPr>
        <w:t>的</w:t>
      </w:r>
      <w:r>
        <w:rPr>
          <w:rFonts w:hint="eastAsia" w:ascii="宋体" w:hAnsi="宋体" w:eastAsia="宋体" w:cs="宋体"/>
          <w:b w:val="0"/>
          <w:bCs/>
          <w:sz w:val="24"/>
          <w:szCs w:val="24"/>
          <w:u w:val="none"/>
        </w:rPr>
        <w:t>现代化大学，共有30个学院，53</w:t>
      </w:r>
      <w:r>
        <w:rPr>
          <w:rFonts w:hint="eastAsia" w:ascii="宋体" w:hAnsi="宋体" w:eastAsia="宋体" w:cs="宋体"/>
          <w:sz w:val="24"/>
          <w:szCs w:val="24"/>
        </w:rPr>
        <w:t>个系，9个图书馆，现设有78个本科课程，88个博士生项目与183个官</w:t>
      </w:r>
      <w:bookmarkStart w:id="0" w:name="page3"/>
      <w:bookmarkEnd w:id="0"/>
      <w:r>
        <w:rPr>
          <w:rFonts w:hint="eastAsia" w:ascii="宋体" w:hAnsi="宋体" w:eastAsia="宋体" w:cs="宋体"/>
          <w:sz w:val="24"/>
          <w:szCs w:val="24"/>
        </w:rPr>
        <w:t>方硕士和334个校际硕士课程。学校有47,489名学生，教师和研究人员3134名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</w:rPr>
        <w:t>以及行政管理人员与服务人员共2504名。巴自治属于综合性大学，在众多学科中，以经济企管类为最著名，排名全国第一。根</w:t>
      </w:r>
      <w:r>
        <w:rPr>
          <w:rFonts w:hint="eastAsia" w:ascii="宋体" w:hAnsi="宋体" w:eastAsia="宋体" w:cs="宋体"/>
          <w:sz w:val="24"/>
          <w:szCs w:val="24"/>
        </w:rPr>
        <w:t>据2006年3月出版的美国专业杂志The Scientist（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sz w:val="24"/>
          <w:szCs w:val="24"/>
        </w:rPr>
        <w:t>科学家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</w:t>
      </w:r>
      <w:r>
        <w:rPr>
          <w:rFonts w:hint="eastAsia" w:ascii="宋体" w:hAnsi="宋体" w:eastAsia="宋体" w:cs="宋体"/>
          <w:sz w:val="24"/>
          <w:szCs w:val="24"/>
        </w:rPr>
        <w:t>）的评估，巴塞罗那自治大学的博士后研究课程排名全球（除美国本土的学院以外）第34位，是西班牙全国公私立大学中唯一进入全球前35名的大学。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360" w:firstLineChars="15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巴塞罗那自治大学在西班牙拥有三个校区，Bellaterra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Sabadell和Sant Pau。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大学校区广阔，占地260公顷，绿树成荫，绿草如茵，环境优美宜人，拥有教研中心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科研机构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图书馆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实验室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学生及教员宿舍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各院校学生餐厅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旅游学院所属学生实习用星级酒店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以及各种商业和卫生服务设施，是一座设备齐全，学风淳朴优良，充满活力的大学城。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二、巴塞罗那自治大学优势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1、巴自治位于西班牙美丽的海港城市巴塞罗那，这里经济发达，环境优美，是学习和生活的理想城市；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、学校科研水平及教学水平在西班牙名列前茅，其综合排名位列西班牙第二；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、经济学、企业管理学是巴自治的王牌专业，在世界上享有盛誉；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、巴自治位于西班牙经济条件最好的加泰罗尼亚大区，可以为学生们提供更多的实习及就业机会；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、学校专业设置紧跟市场潮流，学以致用，学有所用是巴自治的办学理念。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三、项目简介</w:t>
      </w:r>
    </w:p>
    <w:p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巴塞罗那自治大学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学分课程项目是该校为国外</w:t>
      </w:r>
      <w:r>
        <w:rPr>
          <w:rFonts w:hint="eastAsia" w:ascii="宋体" w:hAnsi="宋体" w:eastAsia="宋体" w:cs="宋体"/>
          <w:sz w:val="24"/>
          <w:szCs w:val="24"/>
        </w:rPr>
        <w:t>西班牙</w:t>
      </w:r>
      <w:bookmarkStart w:id="1" w:name="page4"/>
      <w:bookmarkEnd w:id="1"/>
      <w:r>
        <w:rPr>
          <w:rFonts w:hint="eastAsia" w:ascii="宋体" w:hAnsi="宋体" w:eastAsia="宋体" w:cs="宋体"/>
          <w:sz w:val="24"/>
          <w:szCs w:val="24"/>
        </w:rPr>
        <w:t>语专业及经济管理类专业学生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提供的为期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eastAsia="zh-CN"/>
        </w:rPr>
        <w:t>一学期至一学年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的短期交流访学项目。学生可根据自身专业、特长选择课程学习。</w:t>
      </w:r>
    </w:p>
    <w:p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巴塞罗那自治大学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学分课程项目</w:t>
      </w:r>
      <w:r>
        <w:rPr>
          <w:rFonts w:hint="eastAsia" w:ascii="宋体" w:hAnsi="宋体" w:eastAsia="宋体" w:cs="宋体"/>
          <w:sz w:val="24"/>
          <w:szCs w:val="24"/>
        </w:rPr>
        <w:t>为交换生提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</w:rPr>
        <w:t>供三种课程类型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eastAsia="zh-CN"/>
        </w:rPr>
        <w:t>可选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分别为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</w:rPr>
        <w:t>西班牙语语言文化课程，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</w:rPr>
        <w:t>国际生专业课程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  <w:t>3.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</w:rPr>
        <w:t>当地本科生课程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sz w:val="24"/>
          <w:szCs w:val="24"/>
          <w:u w:val="none"/>
          <w:lang w:eastAsia="zh-CN"/>
        </w:rPr>
        <w:t>具体课程介绍如下：</w:t>
      </w:r>
    </w:p>
    <w:tbl>
      <w:tblPr>
        <w:tblStyle w:val="7"/>
        <w:tblpPr w:leftFromText="180" w:rightFromText="180" w:vertAnchor="text" w:horzAnchor="page" w:tblpX="1100" w:tblpY="310"/>
        <w:tblOverlap w:val="never"/>
        <w:tblW w:w="10577" w:type="dxa"/>
        <w:tblCellSpacing w:w="20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3233"/>
        <w:gridCol w:w="3107"/>
        <w:gridCol w:w="2735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</w:trPr>
        <w:tc>
          <w:tcPr>
            <w:tcW w:w="14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</w:rPr>
            </w:pPr>
          </w:p>
        </w:tc>
        <w:tc>
          <w:tcPr>
            <w:tcW w:w="319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</w:rPr>
              <w:t>西班牙语语言文化课程</w:t>
            </w:r>
          </w:p>
        </w:tc>
        <w:tc>
          <w:tcPr>
            <w:tcW w:w="3067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</w:rPr>
              <w:t>国际生专业课程</w:t>
            </w: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lang w:eastAsia="zh-CN"/>
              </w:rPr>
              <w:t>班</w:t>
            </w:r>
          </w:p>
        </w:tc>
        <w:tc>
          <w:tcPr>
            <w:tcW w:w="267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</w:rPr>
              <w:t>当地本科生课程</w:t>
            </w: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  <w:lang w:eastAsia="zh-CN"/>
              </w:rPr>
              <w:t>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</w:trPr>
        <w:tc>
          <w:tcPr>
            <w:tcW w:w="14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</w:rPr>
              <w:t>课程介绍</w:t>
            </w:r>
          </w:p>
        </w:tc>
        <w:tc>
          <w:tcPr>
            <w:tcW w:w="319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</w:rPr>
            </w:pPr>
            <w:r>
              <w:rPr>
                <w:rFonts w:hint="eastAsia" w:ascii="楷体" w:hAnsi="楷体" w:eastAsia="楷体"/>
                <w:sz w:val="22"/>
                <w:szCs w:val="22"/>
              </w:rPr>
              <w:t>本课程将系统学习西班牙语语法，听力，写作，阅读，文化及历史</w:t>
            </w:r>
          </w:p>
        </w:tc>
        <w:tc>
          <w:tcPr>
            <w:tcW w:w="3067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</w:rPr>
            </w:pPr>
            <w:r>
              <w:rPr>
                <w:rFonts w:hint="eastAsia" w:ascii="楷体" w:hAnsi="楷体" w:eastAsia="楷体"/>
                <w:sz w:val="22"/>
                <w:szCs w:val="22"/>
              </w:rPr>
              <w:t>本课程是专门针对国际学生所开设的涉及经济，商业，艺术，人文等几大领域的课程，学生可根据学校要求及个人兴趣选择学习</w:t>
            </w:r>
            <w:r>
              <w:rPr>
                <w:rFonts w:hint="eastAsia" w:ascii="楷体" w:hAnsi="楷体" w:eastAsia="楷体"/>
                <w:sz w:val="22"/>
                <w:szCs w:val="22"/>
                <w:lang w:eastAsia="zh-CN"/>
              </w:rPr>
              <w:t>，并与其他国际学生一起上课。</w:t>
            </w:r>
          </w:p>
        </w:tc>
        <w:tc>
          <w:tcPr>
            <w:tcW w:w="267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</w:rPr>
            </w:pPr>
            <w:r>
              <w:rPr>
                <w:rFonts w:hint="eastAsia" w:ascii="楷体" w:hAnsi="楷体" w:eastAsia="楷体"/>
                <w:sz w:val="22"/>
                <w:szCs w:val="22"/>
              </w:rPr>
              <w:t>本课程是巴塞罗那自治大学普通本科生课程，涉及所有专业领域。学生可根据学校要求及个人兴趣选择学习</w:t>
            </w:r>
            <w:r>
              <w:rPr>
                <w:rFonts w:hint="eastAsia" w:ascii="楷体" w:hAnsi="楷体" w:eastAsia="楷体"/>
                <w:sz w:val="22"/>
                <w:szCs w:val="22"/>
                <w:lang w:eastAsia="zh-CN"/>
              </w:rPr>
              <w:t>，并与当地学生一起上课。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</w:trPr>
        <w:tc>
          <w:tcPr>
            <w:tcW w:w="1442" w:type="dxa"/>
            <w:tcBorders>
              <w:insideH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</w:rPr>
              <w:t>入学要求</w:t>
            </w:r>
          </w:p>
        </w:tc>
        <w:tc>
          <w:tcPr>
            <w:tcW w:w="31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</w:rPr>
            </w:pPr>
            <w:r>
              <w:rPr>
                <w:rFonts w:hint="eastAsia" w:ascii="楷体" w:hAnsi="楷体" w:eastAsia="楷体"/>
                <w:sz w:val="22"/>
                <w:szCs w:val="22"/>
              </w:rPr>
              <w:t>任何等级均可</w:t>
            </w:r>
          </w:p>
        </w:tc>
        <w:tc>
          <w:tcPr>
            <w:tcW w:w="30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</w:rPr>
            </w:pPr>
            <w:r>
              <w:rPr>
                <w:rFonts w:hint="eastAsia" w:ascii="楷体" w:hAnsi="楷体" w:eastAsia="楷体"/>
                <w:sz w:val="22"/>
                <w:szCs w:val="22"/>
              </w:rPr>
              <w:t>西班牙语B2或英语B2</w:t>
            </w:r>
          </w:p>
        </w:tc>
        <w:tc>
          <w:tcPr>
            <w:tcW w:w="2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</w:rPr>
            </w:pPr>
            <w:r>
              <w:rPr>
                <w:rFonts w:hint="eastAsia" w:ascii="楷体" w:hAnsi="楷体" w:eastAsia="楷体"/>
                <w:sz w:val="22"/>
                <w:szCs w:val="22"/>
              </w:rPr>
              <w:t>西班牙语B2或英语B2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</w:trPr>
        <w:tc>
          <w:tcPr>
            <w:tcW w:w="14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</w:rPr>
              <w:t>等级测试方式</w:t>
            </w:r>
          </w:p>
        </w:tc>
        <w:tc>
          <w:tcPr>
            <w:tcW w:w="319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</w:rPr>
            </w:pPr>
            <w:r>
              <w:rPr>
                <w:rFonts w:hint="eastAsia" w:ascii="楷体" w:hAnsi="楷体" w:eastAsia="楷体"/>
                <w:sz w:val="22"/>
                <w:szCs w:val="22"/>
              </w:rPr>
              <w:t>巴自治校内测试</w:t>
            </w:r>
          </w:p>
        </w:tc>
        <w:tc>
          <w:tcPr>
            <w:tcW w:w="3067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</w:rPr>
            </w:pPr>
            <w:r>
              <w:rPr>
                <w:rFonts w:hint="eastAsia" w:ascii="楷体" w:hAnsi="楷体" w:eastAsia="楷体"/>
                <w:sz w:val="22"/>
                <w:szCs w:val="22"/>
              </w:rPr>
              <w:t>巴自治校内测试</w:t>
            </w:r>
          </w:p>
        </w:tc>
        <w:tc>
          <w:tcPr>
            <w:tcW w:w="267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</w:rPr>
            </w:pPr>
            <w:r>
              <w:rPr>
                <w:rFonts w:hint="eastAsia" w:ascii="楷体" w:hAnsi="楷体" w:eastAsia="楷体"/>
                <w:sz w:val="22"/>
                <w:szCs w:val="22"/>
              </w:rPr>
              <w:t>巴自治校内测试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</w:trPr>
        <w:tc>
          <w:tcPr>
            <w:tcW w:w="1442" w:type="dxa"/>
            <w:tcBorders>
              <w:insideH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</w:rPr>
              <w:t>修学要求</w:t>
            </w:r>
          </w:p>
        </w:tc>
        <w:tc>
          <w:tcPr>
            <w:tcW w:w="31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hint="eastAsia" w:ascii="楷体" w:hAnsi="楷体" w:eastAsia="楷体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/>
                <w:sz w:val="22"/>
                <w:szCs w:val="22"/>
              </w:rPr>
              <w:t>每学期修满320学时</w:t>
            </w:r>
            <w:r>
              <w:rPr>
                <w:rFonts w:hint="eastAsia" w:ascii="楷体" w:hAnsi="楷体" w:eastAsia="楷体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楷体" w:hAnsi="楷体" w:eastAsia="楷体"/>
                <w:sz w:val="22"/>
                <w:szCs w:val="22"/>
                <w:lang w:val="en-US" w:eastAsia="zh-CN"/>
              </w:rPr>
              <w:t>24学分</w:t>
            </w:r>
          </w:p>
        </w:tc>
        <w:tc>
          <w:tcPr>
            <w:tcW w:w="30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</w:rPr>
            </w:pPr>
            <w:r>
              <w:rPr>
                <w:rFonts w:hint="eastAsia" w:ascii="楷体" w:hAnsi="楷体" w:eastAsia="楷体"/>
                <w:sz w:val="22"/>
                <w:szCs w:val="22"/>
              </w:rPr>
              <w:t>每学期至少修满</w:t>
            </w:r>
            <w:r>
              <w:rPr>
                <w:rFonts w:ascii="楷体" w:hAnsi="楷体" w:eastAsia="楷体"/>
                <w:sz w:val="22"/>
                <w:szCs w:val="22"/>
              </w:rPr>
              <w:t>4</w:t>
            </w:r>
            <w:r>
              <w:rPr>
                <w:rFonts w:hint="eastAsia" w:ascii="楷体" w:hAnsi="楷体" w:eastAsia="楷体"/>
                <w:sz w:val="22"/>
                <w:szCs w:val="22"/>
              </w:rPr>
              <w:t>门课程，</w:t>
            </w:r>
            <w:r>
              <w:rPr>
                <w:rFonts w:ascii="楷体" w:hAnsi="楷体" w:eastAsia="楷体"/>
                <w:sz w:val="22"/>
                <w:szCs w:val="22"/>
              </w:rPr>
              <w:t>24</w:t>
            </w:r>
            <w:r>
              <w:rPr>
                <w:rFonts w:hint="eastAsia" w:ascii="楷体" w:hAnsi="楷体" w:eastAsia="楷体"/>
                <w:sz w:val="22"/>
                <w:szCs w:val="22"/>
              </w:rPr>
              <w:t>学分</w:t>
            </w:r>
          </w:p>
        </w:tc>
        <w:tc>
          <w:tcPr>
            <w:tcW w:w="2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</w:rPr>
            </w:pPr>
            <w:r>
              <w:rPr>
                <w:rFonts w:hint="eastAsia" w:ascii="楷体" w:hAnsi="楷体" w:eastAsia="楷体"/>
                <w:sz w:val="22"/>
                <w:szCs w:val="22"/>
              </w:rPr>
              <w:t>每学期至少修满</w:t>
            </w:r>
            <w:r>
              <w:rPr>
                <w:rFonts w:ascii="楷体" w:hAnsi="楷体" w:eastAsia="楷体"/>
                <w:sz w:val="22"/>
                <w:szCs w:val="22"/>
              </w:rPr>
              <w:t>4</w:t>
            </w:r>
            <w:r>
              <w:rPr>
                <w:rFonts w:hint="eastAsia" w:ascii="楷体" w:hAnsi="楷体" w:eastAsia="楷体"/>
                <w:sz w:val="22"/>
                <w:szCs w:val="22"/>
              </w:rPr>
              <w:t>门课程，24学分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</w:trPr>
        <w:tc>
          <w:tcPr>
            <w:tcW w:w="14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</w:rPr>
              <w:t>费用</w:t>
            </w:r>
          </w:p>
        </w:tc>
        <w:tc>
          <w:tcPr>
            <w:tcW w:w="319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</w:rPr>
            </w:pPr>
            <w:r>
              <w:rPr>
                <w:rFonts w:hint="eastAsia" w:ascii="楷体" w:hAnsi="楷体" w:eastAsia="楷体"/>
                <w:sz w:val="22"/>
                <w:szCs w:val="22"/>
              </w:rPr>
              <w:t>3</w:t>
            </w:r>
            <w:r>
              <w:rPr>
                <w:rFonts w:ascii="楷体" w:hAnsi="楷体" w:eastAsia="楷体"/>
                <w:sz w:val="22"/>
                <w:szCs w:val="22"/>
              </w:rPr>
              <w:t>84</w:t>
            </w:r>
            <w:r>
              <w:rPr>
                <w:rFonts w:hint="eastAsia" w:ascii="楷体" w:hAnsi="楷体" w:eastAsia="楷体"/>
                <w:sz w:val="22"/>
                <w:szCs w:val="22"/>
              </w:rPr>
              <w:t>0欧元/学期</w:t>
            </w:r>
          </w:p>
        </w:tc>
        <w:tc>
          <w:tcPr>
            <w:tcW w:w="3067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</w:rPr>
            </w:pPr>
            <w:r>
              <w:rPr>
                <w:rFonts w:hint="eastAsia" w:ascii="楷体" w:hAnsi="楷体" w:eastAsia="楷体"/>
                <w:sz w:val="22"/>
                <w:szCs w:val="22"/>
              </w:rPr>
              <w:t>120欧元/学分</w:t>
            </w:r>
          </w:p>
        </w:tc>
        <w:tc>
          <w:tcPr>
            <w:tcW w:w="267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</w:rPr>
            </w:pPr>
            <w:r>
              <w:rPr>
                <w:rFonts w:hint="eastAsia" w:ascii="楷体" w:hAnsi="楷体" w:eastAsia="楷体"/>
                <w:sz w:val="22"/>
                <w:szCs w:val="22"/>
              </w:rPr>
              <w:t>12</w:t>
            </w:r>
            <w:r>
              <w:rPr>
                <w:rFonts w:hint="eastAsia" w:ascii="楷体" w:hAnsi="楷体" w:eastAsia="楷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楷体" w:hAnsi="楷体" w:eastAsia="楷体"/>
                <w:sz w:val="22"/>
                <w:szCs w:val="22"/>
              </w:rPr>
              <w:t>欧元/学分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</w:trPr>
        <w:tc>
          <w:tcPr>
            <w:tcW w:w="1442" w:type="dxa"/>
            <w:tcBorders>
              <w:insideH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8"/>
                <w:szCs w:val="28"/>
              </w:rPr>
              <w:t>备注</w:t>
            </w:r>
          </w:p>
        </w:tc>
        <w:tc>
          <w:tcPr>
            <w:tcW w:w="31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hint="eastAsia" w:ascii="楷体" w:hAnsi="楷体" w:eastAsia="楷体"/>
                <w:i w:val="0"/>
                <w:i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/>
                <w:i w:val="0"/>
                <w:iCs w:val="0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30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</w:rPr>
            </w:pPr>
            <w:r>
              <w:rPr>
                <w:rFonts w:hint="eastAsia" w:ascii="楷体" w:hAnsi="楷体" w:eastAsia="楷体"/>
                <w:sz w:val="22"/>
                <w:szCs w:val="22"/>
              </w:rPr>
              <w:t>若学生不能达到B</w:t>
            </w:r>
            <w:r>
              <w:rPr>
                <w:rFonts w:ascii="楷体" w:hAnsi="楷体" w:eastAsia="楷体"/>
                <w:sz w:val="22"/>
                <w:szCs w:val="22"/>
              </w:rPr>
              <w:t>2</w:t>
            </w:r>
            <w:r>
              <w:rPr>
                <w:rFonts w:hint="eastAsia" w:ascii="楷体" w:hAnsi="楷体" w:eastAsia="楷体"/>
                <w:sz w:val="22"/>
                <w:szCs w:val="22"/>
              </w:rPr>
              <w:t>水平，可在巴自治语言中心学习，然后进入本课程。</w:t>
            </w:r>
          </w:p>
        </w:tc>
        <w:tc>
          <w:tcPr>
            <w:tcW w:w="2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left"/>
              <w:rPr>
                <w:rFonts w:ascii="楷体" w:hAnsi="楷体" w:eastAsia="楷体"/>
                <w:sz w:val="22"/>
                <w:szCs w:val="22"/>
              </w:rPr>
            </w:pPr>
            <w:r>
              <w:rPr>
                <w:rFonts w:hint="eastAsia" w:ascii="楷体" w:hAnsi="楷体" w:eastAsia="楷体"/>
                <w:sz w:val="22"/>
                <w:szCs w:val="22"/>
              </w:rPr>
              <w:t>若学生不能达到B2水平，可在巴自治语言中心学习，然后进入本课程。</w:t>
            </w:r>
          </w:p>
        </w:tc>
      </w:tr>
    </w:tbl>
    <w:p>
      <w:pPr>
        <w:spacing w:line="239" w:lineRule="auto"/>
        <w:rPr>
          <w:rFonts w:hint="eastAsia" w:ascii="楷体" w:hAnsi="楷体" w:eastAsia="楷体" w:cs="楷体"/>
          <w:sz w:val="24"/>
          <w:szCs w:val="24"/>
          <w:lang w:eastAsia="zh-CN"/>
        </w:rPr>
      </w:pPr>
    </w:p>
    <w:p>
      <w:pPr>
        <w:spacing w:line="310" w:lineRule="exact"/>
        <w:rPr>
          <w:rFonts w:ascii="楷体" w:hAnsi="楷体" w:eastAsia="楷体" w:cs="楷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四、</w:t>
      </w:r>
      <w:r>
        <w:rPr>
          <w:rFonts w:hint="eastAsia" w:ascii="宋体" w:hAnsi="宋体" w:eastAsia="宋体" w:cs="宋体"/>
          <w:b/>
          <w:sz w:val="24"/>
          <w:szCs w:val="24"/>
        </w:rPr>
        <w:t>项目特色</w:t>
      </w:r>
    </w:p>
    <w:p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 学生获得国外高水平大学的学习经历；</w:t>
      </w:r>
    </w:p>
    <w:p>
      <w:pPr>
        <w:spacing w:line="360" w:lineRule="auto"/>
        <w:ind w:left="1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 与国外高水平大学建立合作交流关系，增加学校优质交换项目；</w:t>
      </w:r>
    </w:p>
    <w:p>
      <w:pPr>
        <w:spacing w:line="360" w:lineRule="auto"/>
        <w:ind w:left="1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 学生与不同国家学生共同学习，增进文化交流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的</w:t>
      </w:r>
      <w:r>
        <w:rPr>
          <w:rFonts w:hint="eastAsia" w:ascii="宋体" w:hAnsi="宋体" w:eastAsia="宋体" w:cs="宋体"/>
          <w:sz w:val="24"/>
          <w:szCs w:val="24"/>
        </w:rPr>
        <w:t>机会；</w:t>
      </w:r>
    </w:p>
    <w:p>
      <w:pPr>
        <w:spacing w:line="360" w:lineRule="auto"/>
        <w:ind w:left="1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 留学费用低廉，物价水平类似中国一线城市；</w:t>
      </w:r>
    </w:p>
    <w:p>
      <w:pPr>
        <w:spacing w:line="360" w:lineRule="auto"/>
        <w:ind w:left="1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5、 掌握一门小语种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西班牙语人才在中国就业市场深受追捧。</w:t>
      </w:r>
    </w:p>
    <w:p>
      <w:pPr>
        <w:spacing w:line="360" w:lineRule="auto"/>
        <w:ind w:left="180"/>
        <w:rPr>
          <w:rFonts w:hint="eastAsia"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五、开学时间</w:t>
      </w:r>
    </w:p>
    <w:p>
      <w:pPr>
        <w:numPr>
          <w:ilvl w:val="0"/>
          <w:numId w:val="1"/>
        </w:num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学习时间：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秋季学期：9月初-12月中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春季学期：1月中-7月初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2、报名选课时间：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秋季学期：3月中-6月中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春季学期：9月中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-11月中；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sz w:val="24"/>
          <w:szCs w:val="24"/>
          <w:lang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六、</w:t>
      </w:r>
      <w:r>
        <w:rPr>
          <w:rFonts w:hint="eastAsia" w:ascii="宋体" w:hAnsi="宋体" w:eastAsia="宋体" w:cs="宋体"/>
          <w:b/>
          <w:sz w:val="24"/>
          <w:szCs w:val="24"/>
        </w:rPr>
        <w:t>项目费用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1、报名费及项目管理费：8000元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2、注册费：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西班牙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语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语言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文化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课程：3840欧元/学期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国际生专业课程：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约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120欧元/学分（每学期至少修满4门课程，24学分）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当地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本科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生课程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约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125欧元/学分（每学期至少修满4门课程，24学分）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3、生活费（含食宿）：自理，约4000人民币/月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4、往返机票费：自理，约5000人民币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  <w:bookmarkStart w:id="2" w:name="_GoBack"/>
      <w:bookmarkEnd w:id="2"/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5、境外保险费：自理，约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360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人民币/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月；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6、签证费：自理，约1000元人民币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tabs>
          <w:tab w:val="left" w:pos="6175"/>
        </w:tabs>
        <w:spacing w:line="360" w:lineRule="auto"/>
        <w:ind w:firstLine="230" w:firstLineChars="100"/>
        <w:rPr>
          <w:rFonts w:hint="eastAsia" w:ascii="宋体" w:hAnsi="宋体" w:eastAsia="宋体" w:cs="宋体"/>
          <w:color w:val="0000FF"/>
          <w:sz w:val="23"/>
          <w:szCs w:val="23"/>
          <w:lang w:eastAsia="zh-CN"/>
        </w:rPr>
      </w:pPr>
      <w:r>
        <w:rPr>
          <w:rFonts w:hint="eastAsia" w:ascii="宋体" w:hAnsi="宋体" w:eastAsia="宋体" w:cs="宋体"/>
          <w:color w:val="0000FF"/>
          <w:sz w:val="23"/>
          <w:szCs w:val="23"/>
          <w:lang w:eastAsia="zh-CN"/>
        </w:rPr>
        <w:tab/>
      </w:r>
    </w:p>
    <w:p>
      <w:pPr>
        <w:spacing w:line="360" w:lineRule="auto"/>
        <w:rPr>
          <w:rFonts w:hint="eastAsia" w:ascii="宋体" w:hAnsi="宋体" w:eastAsia="宋体" w:cs="宋体"/>
          <w:sz w:val="23"/>
          <w:szCs w:val="23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F040A"/>
    <w:multiLevelType w:val="singleLevel"/>
    <w:tmpl w:val="5ABF040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214FF2"/>
    <w:rsid w:val="00023CE4"/>
    <w:rsid w:val="000B7385"/>
    <w:rsid w:val="0029032E"/>
    <w:rsid w:val="002D6DFD"/>
    <w:rsid w:val="002E51E3"/>
    <w:rsid w:val="00305F39"/>
    <w:rsid w:val="00336875"/>
    <w:rsid w:val="00364CF1"/>
    <w:rsid w:val="00374C04"/>
    <w:rsid w:val="003C3EA7"/>
    <w:rsid w:val="00467055"/>
    <w:rsid w:val="004C566A"/>
    <w:rsid w:val="005238C5"/>
    <w:rsid w:val="00530183"/>
    <w:rsid w:val="00565759"/>
    <w:rsid w:val="0067193D"/>
    <w:rsid w:val="0068248C"/>
    <w:rsid w:val="007651B0"/>
    <w:rsid w:val="007B28F5"/>
    <w:rsid w:val="007C0194"/>
    <w:rsid w:val="007D6D03"/>
    <w:rsid w:val="007F2F34"/>
    <w:rsid w:val="009B5ABC"/>
    <w:rsid w:val="00A12044"/>
    <w:rsid w:val="00B11475"/>
    <w:rsid w:val="00B46E2E"/>
    <w:rsid w:val="00B5067D"/>
    <w:rsid w:val="00C574F2"/>
    <w:rsid w:val="00D2017A"/>
    <w:rsid w:val="00D62C70"/>
    <w:rsid w:val="00DC337A"/>
    <w:rsid w:val="00E120B8"/>
    <w:rsid w:val="00E5033F"/>
    <w:rsid w:val="00EA79D3"/>
    <w:rsid w:val="00EB1E10"/>
    <w:rsid w:val="00F426D4"/>
    <w:rsid w:val="039B2B9B"/>
    <w:rsid w:val="045346F8"/>
    <w:rsid w:val="045E5511"/>
    <w:rsid w:val="0CA8649F"/>
    <w:rsid w:val="12433C8B"/>
    <w:rsid w:val="15100C47"/>
    <w:rsid w:val="154D0A5B"/>
    <w:rsid w:val="19FF6D2D"/>
    <w:rsid w:val="1E705753"/>
    <w:rsid w:val="1FB27A43"/>
    <w:rsid w:val="23444035"/>
    <w:rsid w:val="26572EF9"/>
    <w:rsid w:val="26D35EFF"/>
    <w:rsid w:val="288E0440"/>
    <w:rsid w:val="2B214FF2"/>
    <w:rsid w:val="2DFD1788"/>
    <w:rsid w:val="315069CA"/>
    <w:rsid w:val="336322FC"/>
    <w:rsid w:val="3FDB16F4"/>
    <w:rsid w:val="46674DA0"/>
    <w:rsid w:val="4736068E"/>
    <w:rsid w:val="4FD50F4A"/>
    <w:rsid w:val="5009104E"/>
    <w:rsid w:val="528064B1"/>
    <w:rsid w:val="5B7E7555"/>
    <w:rsid w:val="5D0D4764"/>
    <w:rsid w:val="6972414A"/>
    <w:rsid w:val="6BF90BF2"/>
    <w:rsid w:val="76305F6F"/>
    <w:rsid w:val="7C381D34"/>
    <w:rsid w:val="7C6C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unhideWhenUsed/>
    <w:qFormat/>
    <w:uiPriority w:val="9"/>
    <w:pPr>
      <w:keepNext/>
      <w:keepLines/>
      <w:adjustRightInd w:val="0"/>
      <w:spacing w:before="260" w:after="260" w:line="416" w:lineRule="auto"/>
      <w:textAlignment w:val="baseline"/>
      <w:outlineLvl w:val="1"/>
    </w:pPr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Medium Grid 3 Accent 5"/>
    <w:basedOn w:val="6"/>
    <w:qFormat/>
    <w:uiPriority w:val="69"/>
    <w:rPr>
      <w:kern w:val="2"/>
      <w:sz w:val="21"/>
      <w:szCs w:val="22"/>
    </w:r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C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1B8E1" w:themeFill="accent5" w:themeFillTint="7F"/>
      </w:tcPr>
    </w:tblStylePr>
  </w:style>
  <w:style w:type="character" w:customStyle="1" w:styleId="8">
    <w:name w:val="页眉 Char"/>
    <w:basedOn w:val="5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5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标题 2 Char"/>
    <w:basedOn w:val="5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1">
    <w:name w:val="List Paragraph"/>
    <w:basedOn w:val="1"/>
    <w:qFormat/>
    <w:uiPriority w:val="34"/>
    <w:pPr>
      <w:adjustRightInd w:val="0"/>
      <w:spacing w:line="360" w:lineRule="atLeast"/>
      <w:ind w:firstLine="420" w:firstLineChars="200"/>
      <w:textAlignment w:val="baseline"/>
    </w:pPr>
    <w:rPr>
      <w:rFonts w:asciiTheme="minorHAnsi" w:hAnsiTheme="minorHAnsi"/>
      <w:kern w:val="0"/>
      <w:sz w:val="20"/>
    </w:rPr>
  </w:style>
  <w:style w:type="table" w:customStyle="1" w:styleId="12">
    <w:name w:val="Grid Table 5 Dark Accent 5"/>
    <w:basedOn w:val="6"/>
    <w:qFormat/>
    <w:uiPriority w:val="50"/>
    <w:rPr>
      <w:kern w:val="2"/>
      <w:sz w:val="21"/>
      <w:szCs w:val="22"/>
    </w:r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472C4" w:themeFill="accent5"/>
      </w:tcPr>
    </w:tblStylePr>
    <w:tblStylePr w:type="band1Vert">
      <w:tcPr>
        <w:shd w:val="clear" w:color="auto" w:fill="B4C6E7" w:themeFill="accent5" w:themeFillTint="66"/>
      </w:tcPr>
    </w:tblStylePr>
    <w:tblStylePr w:type="band1Horz">
      <w:tcPr>
        <w:shd w:val="clear" w:color="auto" w:fill="B4C6E7" w:themeFill="accent5" w:themeFillTint="66"/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498</Words>
  <Characters>2845</Characters>
  <Lines>23</Lines>
  <Paragraphs>6</Paragraphs>
  <TotalTime>5</TotalTime>
  <ScaleCrop>false</ScaleCrop>
  <LinksUpToDate>false</LinksUpToDate>
  <CharactersWithSpaces>3337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2018-04-24T08:17:00Z</dcterms:created>
  <dc:creator>艾蔻娃娃</dc:creator>
  <cp:lastModifiedBy>艾蔻娃娃</cp:lastModifiedBy>
  <dcterms:modified xsi:type="dcterms:W3CDTF">2018-09-28T05:47:37Z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